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00BA7" w14:textId="77777777" w:rsidR="00086DF9" w:rsidRPr="007A7CB9" w:rsidRDefault="00086DF9" w:rsidP="00086DF9">
      <w:pPr>
        <w:numPr>
          <w:ilvl w:val="0"/>
          <w:numId w:val="7"/>
        </w:numPr>
        <w:rPr>
          <w:rFonts w:ascii="Arial" w:hAnsi="Arial" w:cs="Arial"/>
        </w:rPr>
      </w:pPr>
      <w:r w:rsidRPr="007A7CB9">
        <w:rPr>
          <w:rFonts w:ascii="Arial" w:hAnsi="Arial" w:cs="Arial"/>
          <w:b/>
        </w:rPr>
        <w:t>PURPOSE</w:t>
      </w:r>
    </w:p>
    <w:p w14:paraId="37B00BA8" w14:textId="5FF5A3D3" w:rsidR="00086DF9" w:rsidRPr="0089695B" w:rsidRDefault="00086DF9" w:rsidP="00086DF9">
      <w:pPr>
        <w:numPr>
          <w:ilvl w:val="1"/>
          <w:numId w:val="7"/>
        </w:numPr>
        <w:rPr>
          <w:rFonts w:ascii="Arial" w:hAnsi="Arial" w:cs="Arial"/>
        </w:rPr>
      </w:pPr>
      <w:r w:rsidRPr="0089695B">
        <w:rPr>
          <w:rFonts w:ascii="Arial" w:hAnsi="Arial" w:cs="Arial"/>
        </w:rPr>
        <w:t xml:space="preserve">The purpose of this policy is to establish the requirements for </w:t>
      </w:r>
      <w:r w:rsidR="00B95255">
        <w:rPr>
          <w:rFonts w:ascii="Arial" w:hAnsi="Arial" w:cs="Arial"/>
        </w:rPr>
        <w:t>demarcating Hazardous Locations (HAZLOCs)</w:t>
      </w:r>
      <w:r w:rsidR="00DC35CE">
        <w:rPr>
          <w:rFonts w:ascii="Arial" w:hAnsi="Arial" w:cs="Arial"/>
        </w:rPr>
        <w:t>.</w:t>
      </w:r>
    </w:p>
    <w:p w14:paraId="37B00BAB" w14:textId="77777777" w:rsidR="0089695B" w:rsidRDefault="0089695B" w:rsidP="00DC35CE">
      <w:pPr>
        <w:rPr>
          <w:rFonts w:ascii="Arial" w:hAnsi="Arial" w:cs="Arial"/>
        </w:rPr>
      </w:pPr>
    </w:p>
    <w:p w14:paraId="37B00BAC" w14:textId="71D93EFE" w:rsidR="00086DF9" w:rsidRPr="0089695B" w:rsidRDefault="00086DF9" w:rsidP="00086DF9">
      <w:pPr>
        <w:numPr>
          <w:ilvl w:val="1"/>
          <w:numId w:val="7"/>
        </w:numPr>
        <w:rPr>
          <w:rFonts w:ascii="Arial" w:hAnsi="Arial" w:cs="Arial"/>
        </w:rPr>
      </w:pPr>
      <w:r w:rsidRPr="0089695B">
        <w:rPr>
          <w:rFonts w:ascii="Arial" w:hAnsi="Arial" w:cs="Arial"/>
        </w:rPr>
        <w:t xml:space="preserve">The purpose of </w:t>
      </w:r>
      <w:r w:rsidR="0024795F">
        <w:rPr>
          <w:rFonts w:ascii="Arial" w:hAnsi="Arial" w:cs="Arial"/>
        </w:rPr>
        <w:t xml:space="preserve">the program is to provide a site-wide consistent demarcation of these HAZLOCs so that all personnel entering a HAZLOC are aware of the Class, Division, and Group </w:t>
      </w:r>
      <w:r w:rsidR="0024795F">
        <w:rPr>
          <w:rFonts w:ascii="Arial" w:hAnsi="Arial" w:cs="Arial"/>
        </w:rPr>
        <w:t xml:space="preserve">they are entering. </w:t>
      </w:r>
    </w:p>
    <w:p w14:paraId="37B00BAE" w14:textId="77777777" w:rsidR="00086DF9" w:rsidRPr="0089695B" w:rsidRDefault="00086DF9">
      <w:pPr>
        <w:jc w:val="both"/>
        <w:rPr>
          <w:rFonts w:ascii="Arial" w:hAnsi="Arial" w:cs="Arial"/>
        </w:rPr>
      </w:pPr>
    </w:p>
    <w:p w14:paraId="37B00BAF" w14:textId="77777777" w:rsidR="00086DF9" w:rsidRPr="007A7CB9" w:rsidRDefault="00086DF9" w:rsidP="00086DF9">
      <w:pPr>
        <w:numPr>
          <w:ilvl w:val="0"/>
          <w:numId w:val="7"/>
        </w:numPr>
        <w:jc w:val="both"/>
        <w:rPr>
          <w:rFonts w:ascii="Arial" w:hAnsi="Arial" w:cs="Arial"/>
        </w:rPr>
      </w:pPr>
      <w:r w:rsidRPr="007A7CB9">
        <w:rPr>
          <w:rFonts w:ascii="Arial" w:hAnsi="Arial" w:cs="Arial"/>
          <w:b/>
        </w:rPr>
        <w:t>SCOPE</w:t>
      </w:r>
    </w:p>
    <w:p w14:paraId="37B00BB0" w14:textId="71632286" w:rsidR="00086DF9" w:rsidRDefault="00086DF9" w:rsidP="00086DF9">
      <w:pPr>
        <w:numPr>
          <w:ilvl w:val="1"/>
          <w:numId w:val="7"/>
        </w:numPr>
        <w:jc w:val="both"/>
        <w:rPr>
          <w:rFonts w:ascii="Arial" w:hAnsi="Arial" w:cs="Arial"/>
        </w:rPr>
      </w:pPr>
      <w:r w:rsidRPr="00951D32">
        <w:rPr>
          <w:rFonts w:ascii="Arial" w:hAnsi="Arial" w:cs="Arial"/>
        </w:rPr>
        <w:t xml:space="preserve">The </w:t>
      </w:r>
      <w:r w:rsidR="00951D32" w:rsidRPr="00951D32">
        <w:rPr>
          <w:rFonts w:ascii="Arial" w:hAnsi="Arial" w:cs="Arial"/>
          <w:bCs/>
        </w:rPr>
        <w:t>Marking of Hazardous Locations (HAZLOCs)</w:t>
      </w:r>
      <w:r w:rsidRPr="00951D32">
        <w:rPr>
          <w:rFonts w:ascii="Arial" w:hAnsi="Arial" w:cs="Arial"/>
        </w:rPr>
        <w:t xml:space="preserve"> Program addresses the following:</w:t>
      </w:r>
    </w:p>
    <w:p w14:paraId="7300F285" w14:textId="2BA1D9B8" w:rsidR="007A12D0" w:rsidRDefault="007A12D0" w:rsidP="007A12D0">
      <w:pPr>
        <w:numPr>
          <w:ilvl w:val="2"/>
          <w:numId w:val="7"/>
        </w:numPr>
        <w:jc w:val="both"/>
        <w:rPr>
          <w:rFonts w:ascii="Arial" w:hAnsi="Arial" w:cs="Arial"/>
        </w:rPr>
      </w:pPr>
      <w:r>
        <w:rPr>
          <w:rFonts w:ascii="Arial" w:hAnsi="Arial" w:cs="Arial"/>
        </w:rPr>
        <w:t>Class I HAZLOCs – Flammable gases and vapors</w:t>
      </w:r>
    </w:p>
    <w:p w14:paraId="1B0D7774" w14:textId="5D1687B5" w:rsidR="007A12D0" w:rsidRPr="00951D32" w:rsidRDefault="007A12D0" w:rsidP="007A12D0">
      <w:pPr>
        <w:numPr>
          <w:ilvl w:val="2"/>
          <w:numId w:val="7"/>
        </w:numPr>
        <w:jc w:val="both"/>
        <w:rPr>
          <w:rFonts w:ascii="Arial" w:hAnsi="Arial" w:cs="Arial"/>
        </w:rPr>
      </w:pPr>
      <w:r>
        <w:rPr>
          <w:rFonts w:ascii="Arial" w:hAnsi="Arial" w:cs="Arial"/>
        </w:rPr>
        <w:t>Class II HAZLOCs – Combustible Dusts</w:t>
      </w:r>
    </w:p>
    <w:p w14:paraId="37B00BB7" w14:textId="77777777" w:rsidR="00086DF9" w:rsidRPr="0089695B" w:rsidRDefault="00086DF9" w:rsidP="00086DF9">
      <w:pPr>
        <w:ind w:left="360"/>
        <w:jc w:val="both"/>
        <w:rPr>
          <w:rFonts w:ascii="Arial" w:hAnsi="Arial" w:cs="Arial"/>
        </w:rPr>
      </w:pPr>
    </w:p>
    <w:p w14:paraId="37B00BB8" w14:textId="77777777" w:rsidR="00086DF9" w:rsidRPr="007A7CB9" w:rsidRDefault="00086DF9" w:rsidP="00086DF9">
      <w:pPr>
        <w:numPr>
          <w:ilvl w:val="0"/>
          <w:numId w:val="7"/>
        </w:numPr>
        <w:jc w:val="both"/>
        <w:rPr>
          <w:rFonts w:ascii="Arial" w:hAnsi="Arial" w:cs="Arial"/>
        </w:rPr>
      </w:pPr>
      <w:r w:rsidRPr="007A7CB9">
        <w:rPr>
          <w:rFonts w:ascii="Arial" w:hAnsi="Arial" w:cs="Arial"/>
          <w:b/>
        </w:rPr>
        <w:t>APPLICATION</w:t>
      </w:r>
    </w:p>
    <w:p w14:paraId="37B00BB9" w14:textId="47BAE4F2" w:rsidR="00086DF9" w:rsidRPr="0089695B" w:rsidRDefault="00086DF9" w:rsidP="00086DF9">
      <w:pPr>
        <w:numPr>
          <w:ilvl w:val="1"/>
          <w:numId w:val="7"/>
        </w:numPr>
        <w:jc w:val="both"/>
        <w:rPr>
          <w:rFonts w:ascii="Arial" w:hAnsi="Arial" w:cs="Arial"/>
        </w:rPr>
      </w:pPr>
      <w:r w:rsidRPr="0089695B">
        <w:rPr>
          <w:rFonts w:ascii="Arial" w:hAnsi="Arial" w:cs="Arial"/>
        </w:rPr>
        <w:t xml:space="preserve">The </w:t>
      </w:r>
      <w:r w:rsidR="00BC6F28" w:rsidRPr="00951D32">
        <w:rPr>
          <w:rFonts w:ascii="Arial" w:hAnsi="Arial" w:cs="Arial"/>
          <w:bCs/>
        </w:rPr>
        <w:t>Marking of Hazardous Locations (HAZLOCs)</w:t>
      </w:r>
      <w:r w:rsidR="00BC6F28" w:rsidRPr="00951D32">
        <w:rPr>
          <w:rFonts w:ascii="Arial" w:hAnsi="Arial" w:cs="Arial"/>
        </w:rPr>
        <w:t xml:space="preserve"> Program </w:t>
      </w:r>
      <w:r w:rsidRPr="0089695B">
        <w:rPr>
          <w:rFonts w:ascii="Arial" w:hAnsi="Arial" w:cs="Arial"/>
        </w:rPr>
        <w:t xml:space="preserve">applies to the following </w:t>
      </w:r>
      <w:r w:rsidR="00BC6F28">
        <w:rPr>
          <w:rFonts w:ascii="Arial" w:hAnsi="Arial" w:cs="Arial"/>
        </w:rPr>
        <w:t>areas</w:t>
      </w:r>
      <w:r w:rsidRPr="0089695B">
        <w:rPr>
          <w:rFonts w:ascii="Arial" w:hAnsi="Arial" w:cs="Arial"/>
        </w:rPr>
        <w:t>:</w:t>
      </w:r>
    </w:p>
    <w:p w14:paraId="37B00BBE" w14:textId="7DF758B2" w:rsidR="00086DF9" w:rsidRDefault="00BC6F28" w:rsidP="00086DF9">
      <w:pPr>
        <w:numPr>
          <w:ilvl w:val="2"/>
          <w:numId w:val="7"/>
        </w:numPr>
        <w:jc w:val="both"/>
        <w:rPr>
          <w:rFonts w:ascii="Arial" w:hAnsi="Arial" w:cs="Arial"/>
        </w:rPr>
      </w:pPr>
      <w:r>
        <w:rPr>
          <w:rFonts w:ascii="Arial" w:hAnsi="Arial" w:cs="Arial"/>
        </w:rPr>
        <w:t>XXXXXX</w:t>
      </w:r>
    </w:p>
    <w:p w14:paraId="23DAE3A5" w14:textId="69BD4B51" w:rsidR="00BC6F28" w:rsidRDefault="00BC6F28" w:rsidP="00086DF9">
      <w:pPr>
        <w:numPr>
          <w:ilvl w:val="2"/>
          <w:numId w:val="7"/>
        </w:numPr>
        <w:jc w:val="both"/>
        <w:rPr>
          <w:rFonts w:ascii="Arial" w:hAnsi="Arial" w:cs="Arial"/>
        </w:rPr>
      </w:pPr>
      <w:r>
        <w:rPr>
          <w:rFonts w:ascii="Arial" w:hAnsi="Arial" w:cs="Arial"/>
        </w:rPr>
        <w:t>XXXXXX</w:t>
      </w:r>
    </w:p>
    <w:p w14:paraId="73507EDB" w14:textId="404E5CEE" w:rsidR="00BC6F28" w:rsidRPr="0089695B" w:rsidRDefault="00BC6F28" w:rsidP="00086DF9">
      <w:pPr>
        <w:numPr>
          <w:ilvl w:val="2"/>
          <w:numId w:val="7"/>
        </w:numPr>
        <w:jc w:val="both"/>
        <w:rPr>
          <w:rFonts w:ascii="Arial" w:hAnsi="Arial" w:cs="Arial"/>
        </w:rPr>
      </w:pPr>
      <w:r>
        <w:rPr>
          <w:rFonts w:ascii="Arial" w:hAnsi="Arial" w:cs="Arial"/>
        </w:rPr>
        <w:t>XXXXXX</w:t>
      </w:r>
    </w:p>
    <w:p w14:paraId="37B00BC8" w14:textId="77777777" w:rsidR="00086DF9" w:rsidRPr="007A7CB9" w:rsidRDefault="00086DF9" w:rsidP="00BC6F28">
      <w:pPr>
        <w:jc w:val="both"/>
        <w:rPr>
          <w:rFonts w:ascii="Arial" w:hAnsi="Arial" w:cs="Arial"/>
        </w:rPr>
      </w:pPr>
    </w:p>
    <w:p w14:paraId="37B00BC9" w14:textId="77777777" w:rsidR="00086DF9" w:rsidRPr="00BC6F28" w:rsidRDefault="00086DF9" w:rsidP="00086DF9">
      <w:pPr>
        <w:numPr>
          <w:ilvl w:val="0"/>
          <w:numId w:val="7"/>
        </w:numPr>
        <w:jc w:val="both"/>
        <w:rPr>
          <w:rFonts w:ascii="Arial" w:hAnsi="Arial" w:cs="Arial"/>
        </w:rPr>
      </w:pPr>
      <w:r w:rsidRPr="007A7CB9">
        <w:rPr>
          <w:rFonts w:ascii="Arial" w:hAnsi="Arial" w:cs="Arial"/>
          <w:b/>
        </w:rPr>
        <w:t>DEFINITIONS</w:t>
      </w:r>
    </w:p>
    <w:p w14:paraId="7D6361CA" w14:textId="77777777" w:rsidR="00BC6F28" w:rsidRPr="00BC6F28" w:rsidRDefault="00BC6F28" w:rsidP="00BC6F28">
      <w:pPr>
        <w:ind w:left="360"/>
        <w:jc w:val="both"/>
        <w:rPr>
          <w:rFonts w:ascii="Arial" w:hAnsi="Arial" w:cs="Arial"/>
        </w:rPr>
      </w:pPr>
    </w:p>
    <w:p w14:paraId="2C269F25" w14:textId="7F686EBE" w:rsidR="00BC6F28" w:rsidRPr="00BC6F28" w:rsidRDefault="00BC6F28" w:rsidP="00BC6F28">
      <w:pPr>
        <w:numPr>
          <w:ilvl w:val="1"/>
          <w:numId w:val="7"/>
        </w:numPr>
        <w:jc w:val="both"/>
        <w:rPr>
          <w:rFonts w:ascii="Arial" w:hAnsi="Arial" w:cs="Arial"/>
          <w:b/>
          <w:bCs/>
          <w:i/>
          <w:iCs/>
          <w:u w:val="single"/>
        </w:rPr>
      </w:pPr>
      <w:r w:rsidRPr="00BC6F28">
        <w:rPr>
          <w:rFonts w:ascii="Arial" w:hAnsi="Arial" w:cs="Arial"/>
          <w:b/>
          <w:bCs/>
          <w:i/>
          <w:iCs/>
          <w:u w:val="single"/>
        </w:rPr>
        <w:t>Class I, Division 1</w:t>
      </w:r>
    </w:p>
    <w:p w14:paraId="60B42462" w14:textId="77777777" w:rsidR="00BC6F28" w:rsidRPr="00BC6F28" w:rsidRDefault="00BC6F28" w:rsidP="00BC6F28">
      <w:pPr>
        <w:ind w:left="720"/>
        <w:jc w:val="both"/>
        <w:rPr>
          <w:rFonts w:ascii="Arial" w:hAnsi="Arial" w:cs="Arial"/>
        </w:rPr>
      </w:pPr>
      <w:r w:rsidRPr="00BC6F28">
        <w:rPr>
          <w:rFonts w:ascii="Arial" w:hAnsi="Arial" w:cs="Arial"/>
        </w:rPr>
        <w:t>A Class I, Division 1 location is a location</w:t>
      </w:r>
    </w:p>
    <w:p w14:paraId="79E4AA8D" w14:textId="77777777" w:rsidR="00BC6F28" w:rsidRPr="00BC6F28" w:rsidRDefault="00BC6F28" w:rsidP="00BC6F28">
      <w:pPr>
        <w:ind w:left="720"/>
        <w:jc w:val="both"/>
        <w:rPr>
          <w:rFonts w:ascii="Arial" w:hAnsi="Arial" w:cs="Arial"/>
        </w:rPr>
      </w:pPr>
      <w:r w:rsidRPr="00BC6F28">
        <w:rPr>
          <w:rFonts w:ascii="Arial" w:hAnsi="Arial" w:cs="Arial"/>
        </w:rPr>
        <w:t>(1) In which ignitible concentrations of flammable gases, flammable liquid–produced vapors, or combustible liquid–produced vapors can exist under normal operating conditions, or</w:t>
      </w:r>
    </w:p>
    <w:p w14:paraId="546FD317" w14:textId="77777777" w:rsidR="00BC6F28" w:rsidRPr="00BC6F28" w:rsidRDefault="00BC6F28" w:rsidP="00BC6F28">
      <w:pPr>
        <w:ind w:left="720"/>
        <w:jc w:val="both"/>
        <w:rPr>
          <w:rFonts w:ascii="Arial" w:hAnsi="Arial" w:cs="Arial"/>
        </w:rPr>
      </w:pPr>
      <w:r w:rsidRPr="00BC6F28">
        <w:rPr>
          <w:rFonts w:ascii="Arial" w:hAnsi="Arial" w:cs="Arial"/>
        </w:rPr>
        <w:t>(2) In which ignitible concentrations of such flammable gases, flammable liquid–produced vapors, or combustible liquids above their flash points may exist frequently because of repair or maintenance operations or because of leakage, or</w:t>
      </w:r>
    </w:p>
    <w:p w14:paraId="2BA2C18F" w14:textId="79533209" w:rsidR="00BC6F28" w:rsidRDefault="00BC6F28" w:rsidP="007E5C7D">
      <w:pPr>
        <w:ind w:left="720"/>
        <w:jc w:val="both"/>
        <w:rPr>
          <w:rFonts w:ascii="Arial" w:hAnsi="Arial" w:cs="Arial"/>
        </w:rPr>
      </w:pPr>
      <w:r w:rsidRPr="00BC6F28">
        <w:rPr>
          <w:rFonts w:ascii="Arial" w:hAnsi="Arial" w:cs="Arial"/>
        </w:rPr>
        <w:t>(3) In which breakdown or faulty operation of equipment or processes might release ignitible concentrations of flammable</w:t>
      </w:r>
      <w:r w:rsidR="007E5C7D">
        <w:rPr>
          <w:rFonts w:ascii="Arial" w:hAnsi="Arial" w:cs="Arial"/>
        </w:rPr>
        <w:t xml:space="preserve"> </w:t>
      </w:r>
      <w:r w:rsidRPr="00BC6F28">
        <w:rPr>
          <w:rFonts w:ascii="Arial" w:hAnsi="Arial" w:cs="Arial"/>
        </w:rPr>
        <w:t>gases, flammable liquid–produced vapors, or combustible liquid–produced vapors and might also cause simultaneous failure of electrical equipment in such a way as to directly cause the electrical equipment to become a source of ignition.</w:t>
      </w:r>
    </w:p>
    <w:p w14:paraId="4AE81C02" w14:textId="77777777" w:rsidR="00BC6F28" w:rsidRDefault="00BC6F28" w:rsidP="00BC6F28">
      <w:pPr>
        <w:ind w:left="720"/>
        <w:jc w:val="both"/>
        <w:rPr>
          <w:rFonts w:ascii="Arial" w:hAnsi="Arial" w:cs="Arial"/>
        </w:rPr>
      </w:pPr>
    </w:p>
    <w:p w14:paraId="56CC375C" w14:textId="77777777" w:rsidR="00BC6F28" w:rsidRPr="00BC6F28" w:rsidRDefault="00BC6F28" w:rsidP="00BC6F28">
      <w:pPr>
        <w:numPr>
          <w:ilvl w:val="1"/>
          <w:numId w:val="7"/>
        </w:numPr>
        <w:jc w:val="both"/>
        <w:rPr>
          <w:rFonts w:ascii="Arial" w:hAnsi="Arial" w:cs="Arial"/>
          <w:b/>
          <w:bCs/>
          <w:i/>
          <w:iCs/>
          <w:u w:val="single"/>
        </w:rPr>
      </w:pPr>
      <w:r w:rsidRPr="00BC6F28">
        <w:rPr>
          <w:rFonts w:ascii="Arial" w:hAnsi="Arial" w:cs="Arial"/>
          <w:b/>
          <w:bCs/>
          <w:i/>
          <w:iCs/>
          <w:u w:val="single"/>
        </w:rPr>
        <w:t>Class I, Division 2</w:t>
      </w:r>
    </w:p>
    <w:p w14:paraId="348DE055" w14:textId="1BCE5CD6" w:rsidR="00BC6F28" w:rsidRPr="00BC6F28" w:rsidRDefault="00BC6F28" w:rsidP="00BC6F28">
      <w:pPr>
        <w:ind w:left="720"/>
        <w:jc w:val="both"/>
        <w:rPr>
          <w:rFonts w:ascii="Arial" w:hAnsi="Arial" w:cs="Arial"/>
        </w:rPr>
      </w:pPr>
      <w:r w:rsidRPr="00BC6F28">
        <w:rPr>
          <w:rFonts w:ascii="Arial" w:hAnsi="Arial" w:cs="Arial"/>
        </w:rPr>
        <w:t>A Class I, Division 2 location is a location</w:t>
      </w:r>
    </w:p>
    <w:p w14:paraId="742C6E32" w14:textId="24CDA59E" w:rsidR="00BC6F28" w:rsidRPr="00BC6F28" w:rsidRDefault="00BC6F28" w:rsidP="00BC6F28">
      <w:pPr>
        <w:ind w:left="720"/>
        <w:jc w:val="both"/>
        <w:rPr>
          <w:rFonts w:ascii="Arial" w:hAnsi="Arial" w:cs="Arial"/>
        </w:rPr>
      </w:pPr>
      <w:r w:rsidRPr="00BC6F28">
        <w:rPr>
          <w:rFonts w:ascii="Arial" w:hAnsi="Arial" w:cs="Arial"/>
        </w:rPr>
        <w:t>(1) In which volatile flammable gases, flammable liquid–produced vapors, or combustible liquid–produced vapors are handled, processed, or used, but in which the liquids, vapors, or gases will normally be confined within closed containers or closed systems from which they can escape only in case of accidental rupture or breakdown of such containers or systems or in case of abnormal operation of</w:t>
      </w:r>
      <w:r>
        <w:rPr>
          <w:rFonts w:ascii="Arial" w:hAnsi="Arial" w:cs="Arial"/>
        </w:rPr>
        <w:t xml:space="preserve"> </w:t>
      </w:r>
      <w:r w:rsidRPr="00BC6F28">
        <w:rPr>
          <w:rFonts w:ascii="Arial" w:hAnsi="Arial" w:cs="Arial"/>
        </w:rPr>
        <w:t>equipment, or</w:t>
      </w:r>
    </w:p>
    <w:p w14:paraId="742C6E32" w14:textId="24CDA59E" w:rsidR="00BC6F28" w:rsidRPr="00BC6F28" w:rsidRDefault="00BC6F28" w:rsidP="00BC6F28">
      <w:pPr>
        <w:ind w:left="720"/>
        <w:jc w:val="both"/>
        <w:rPr>
          <w:rFonts w:ascii="Arial" w:hAnsi="Arial" w:cs="Arial"/>
        </w:rPr>
      </w:pPr>
      <w:r w:rsidRPr="00BC6F28">
        <w:rPr>
          <w:rFonts w:ascii="Arial" w:hAnsi="Arial" w:cs="Arial"/>
        </w:rPr>
        <w:t>(2) In which ignitible concentrations of flammable gases, flammable liquid–produced vapors, or combustible liquid–produced vapors are normally prevented by positive mechanical ventilation and which might become hazardous through failure or abnormal operation of the</w:t>
      </w:r>
      <w:r>
        <w:rPr>
          <w:rFonts w:ascii="Arial" w:hAnsi="Arial" w:cs="Arial"/>
        </w:rPr>
        <w:t xml:space="preserve"> </w:t>
      </w:r>
      <w:r w:rsidRPr="00BC6F28">
        <w:rPr>
          <w:rFonts w:ascii="Arial" w:hAnsi="Arial" w:cs="Arial"/>
        </w:rPr>
        <w:t>ventilating equipment, or</w:t>
      </w:r>
    </w:p>
    <w:p w14:paraId="742C6E32" w14:textId="24CDA59E" w:rsidR="00BC6F28" w:rsidRPr="00BC6F28" w:rsidRDefault="00BC6F28" w:rsidP="00BC6F28">
      <w:pPr>
        <w:ind w:left="720"/>
        <w:jc w:val="both"/>
        <w:rPr>
          <w:rFonts w:ascii="Arial" w:hAnsi="Arial" w:cs="Arial"/>
        </w:rPr>
      </w:pPr>
      <w:r w:rsidRPr="00BC6F28">
        <w:rPr>
          <w:rFonts w:ascii="Arial" w:hAnsi="Arial" w:cs="Arial"/>
        </w:rPr>
        <w:t>(3) That is adjacent to a Class I, Division 1 location, and to which ignitible concentrations of flammable gases, flammable</w:t>
      </w:r>
      <w:r>
        <w:rPr>
          <w:rFonts w:ascii="Arial" w:hAnsi="Arial" w:cs="Arial"/>
        </w:rPr>
        <w:t xml:space="preserve"> </w:t>
      </w:r>
      <w:r w:rsidRPr="00BC6F28">
        <w:rPr>
          <w:rFonts w:ascii="Arial" w:hAnsi="Arial" w:cs="Arial"/>
        </w:rPr>
        <w:t>liquid–produced vapors, or combustible liquid–produced vapors above their flash points might occasionally be communicated unless such communication is prevented by adequate positive-pressure ventilation from a source of clean air and effective safeguards against</w:t>
      </w:r>
      <w:r>
        <w:rPr>
          <w:rFonts w:ascii="Arial" w:hAnsi="Arial" w:cs="Arial"/>
        </w:rPr>
        <w:t xml:space="preserve"> </w:t>
      </w:r>
      <w:r w:rsidRPr="00BC6F28">
        <w:rPr>
          <w:rFonts w:ascii="Arial" w:hAnsi="Arial" w:cs="Arial"/>
        </w:rPr>
        <w:t>ventilation failure are provided.</w:t>
      </w:r>
    </w:p>
    <w:p w14:paraId="7C79E22D" w14:textId="77777777" w:rsidR="00BC6F28" w:rsidRDefault="00BC6F28" w:rsidP="00BC6F28">
      <w:pPr>
        <w:ind w:left="1080"/>
        <w:jc w:val="both"/>
        <w:rPr>
          <w:rFonts w:ascii="Arial" w:hAnsi="Arial" w:cs="Arial"/>
        </w:rPr>
      </w:pPr>
    </w:p>
    <w:p w14:paraId="11F479B8" w14:textId="77777777" w:rsidR="00BC6F28" w:rsidRDefault="00BC6F28" w:rsidP="00BC6F28">
      <w:pPr>
        <w:ind w:left="1080"/>
        <w:jc w:val="both"/>
        <w:rPr>
          <w:rFonts w:ascii="Arial" w:hAnsi="Arial" w:cs="Arial"/>
        </w:rPr>
      </w:pPr>
    </w:p>
    <w:p w14:paraId="03BCDFC2" w14:textId="77777777" w:rsidR="00025864" w:rsidRDefault="00025864" w:rsidP="00BC6F28">
      <w:pPr>
        <w:ind w:left="1080"/>
        <w:jc w:val="both"/>
        <w:rPr>
          <w:rFonts w:ascii="Arial" w:hAnsi="Arial" w:cs="Arial"/>
        </w:rPr>
      </w:pPr>
    </w:p>
    <w:p w14:paraId="2E8CBE53" w14:textId="0FDF16C9" w:rsidR="00BC6F28" w:rsidRPr="007E5C7D" w:rsidRDefault="00BC6F28" w:rsidP="00BC6F28">
      <w:pPr>
        <w:numPr>
          <w:ilvl w:val="1"/>
          <w:numId w:val="7"/>
        </w:numPr>
        <w:jc w:val="both"/>
        <w:rPr>
          <w:rFonts w:ascii="Arial" w:hAnsi="Arial" w:cs="Arial"/>
          <w:b/>
          <w:bCs/>
          <w:i/>
          <w:iCs/>
          <w:u w:val="single"/>
        </w:rPr>
      </w:pPr>
      <w:r w:rsidRPr="007E5C7D">
        <w:rPr>
          <w:rFonts w:ascii="Arial" w:hAnsi="Arial" w:cs="Arial"/>
          <w:b/>
          <w:bCs/>
          <w:i/>
          <w:iCs/>
          <w:u w:val="single"/>
        </w:rPr>
        <w:lastRenderedPageBreak/>
        <w:t xml:space="preserve">Class II, Division 1 </w:t>
      </w:r>
    </w:p>
    <w:p w14:paraId="7BF9D12D" w14:textId="02D488B2" w:rsidR="00BC6F28" w:rsidRPr="00BC6F28" w:rsidRDefault="00BC6F28" w:rsidP="00BC6F28">
      <w:pPr>
        <w:ind w:left="720"/>
        <w:jc w:val="both"/>
        <w:rPr>
          <w:rFonts w:ascii="Arial" w:hAnsi="Arial" w:cs="Arial"/>
        </w:rPr>
      </w:pPr>
      <w:r w:rsidRPr="00BC6F28">
        <w:rPr>
          <w:rFonts w:ascii="Arial" w:hAnsi="Arial" w:cs="Arial"/>
        </w:rPr>
        <w:t>A Class II, Division 1 location is a location</w:t>
      </w:r>
    </w:p>
    <w:p w14:paraId="510D42F6" w14:textId="77777777" w:rsidR="00BC6F28" w:rsidRDefault="00BC6F28" w:rsidP="00BC6F28">
      <w:pPr>
        <w:ind w:left="720"/>
        <w:jc w:val="both"/>
        <w:rPr>
          <w:rFonts w:ascii="Arial" w:hAnsi="Arial" w:cs="Arial"/>
        </w:rPr>
      </w:pPr>
      <w:r w:rsidRPr="00BC6F28">
        <w:rPr>
          <w:rFonts w:ascii="Arial" w:hAnsi="Arial" w:cs="Arial"/>
        </w:rPr>
        <w:t xml:space="preserve">In which combustible dust is in the air under normal operating conditions in quantities sufficient to produce explosive or ignitible mixtures, or </w:t>
      </w:r>
    </w:p>
    <w:p w14:paraId="070C9FF7" w14:textId="77777777" w:rsidR="00BC6F28" w:rsidRDefault="00BC6F28" w:rsidP="00BC6F28">
      <w:pPr>
        <w:ind w:left="720"/>
        <w:jc w:val="both"/>
        <w:rPr>
          <w:rFonts w:ascii="Arial" w:hAnsi="Arial" w:cs="Arial"/>
        </w:rPr>
      </w:pPr>
      <w:r w:rsidRPr="00BC6F28">
        <w:rPr>
          <w:rFonts w:ascii="Arial" w:hAnsi="Arial" w:cs="Arial"/>
        </w:rPr>
        <w:t>(2) Where mechanical failure or abnormal operation of machinery or equipment might cause such explosive or ignitible mixtures to be produced, and might also provide a source of ignition through simultaneous failure of electrical equipment, through operation of protection devices, or from other causes, or</w:t>
      </w:r>
      <w:r w:rsidRPr="00BC6F28">
        <w:rPr>
          <w:rFonts w:ascii="Arial" w:hAnsi="Arial" w:cs="Arial"/>
        </w:rPr>
        <w:t xml:space="preserve"> </w:t>
      </w:r>
    </w:p>
    <w:p w14:paraId="080155C8" w14:textId="04CEA7EB" w:rsidR="00BC6F28" w:rsidRPr="00BC6F28" w:rsidRDefault="00BC6F28" w:rsidP="00BC6F28">
      <w:pPr>
        <w:ind w:left="720"/>
        <w:jc w:val="both"/>
        <w:rPr>
          <w:rFonts w:ascii="Arial" w:hAnsi="Arial" w:cs="Arial"/>
        </w:rPr>
      </w:pPr>
      <w:r w:rsidRPr="00BC6F28">
        <w:rPr>
          <w:rFonts w:ascii="Arial" w:hAnsi="Arial" w:cs="Arial"/>
        </w:rPr>
        <w:t>(3) In which Group E combustible dusts may be present in quantities sufficient to be hazardous.</w:t>
      </w:r>
    </w:p>
    <w:p w14:paraId="17B37862" w14:textId="77777777" w:rsidR="00BC6F28" w:rsidRDefault="00BC6F28" w:rsidP="00BC6F28">
      <w:pPr>
        <w:ind w:left="1080"/>
        <w:jc w:val="both"/>
        <w:rPr>
          <w:rFonts w:ascii="Arial" w:hAnsi="Arial" w:cs="Arial"/>
        </w:rPr>
      </w:pPr>
    </w:p>
    <w:p w14:paraId="1057514E" w14:textId="77777777" w:rsidR="007E5C7D" w:rsidRPr="007E5C7D" w:rsidRDefault="007E5C7D" w:rsidP="007E5C7D">
      <w:pPr>
        <w:numPr>
          <w:ilvl w:val="1"/>
          <w:numId w:val="7"/>
        </w:numPr>
        <w:jc w:val="both"/>
        <w:rPr>
          <w:rFonts w:ascii="Arial" w:hAnsi="Arial" w:cs="Arial"/>
          <w:b/>
          <w:bCs/>
          <w:i/>
          <w:iCs/>
          <w:u w:val="single"/>
        </w:rPr>
      </w:pPr>
      <w:r w:rsidRPr="007E5C7D">
        <w:rPr>
          <w:rFonts w:ascii="Arial" w:hAnsi="Arial" w:cs="Arial"/>
          <w:b/>
          <w:bCs/>
          <w:i/>
          <w:iCs/>
          <w:u w:val="single"/>
        </w:rPr>
        <w:t>Class II, Division 2</w:t>
      </w:r>
    </w:p>
    <w:p w14:paraId="213F9C71" w14:textId="72826B32" w:rsidR="007E5C7D" w:rsidRPr="007E5C7D" w:rsidRDefault="007E5C7D" w:rsidP="007E5C7D">
      <w:pPr>
        <w:ind w:left="720"/>
        <w:jc w:val="both"/>
        <w:rPr>
          <w:rFonts w:ascii="Arial" w:hAnsi="Arial" w:cs="Arial"/>
        </w:rPr>
      </w:pPr>
      <w:r w:rsidRPr="007E5C7D">
        <w:rPr>
          <w:rFonts w:ascii="Arial" w:hAnsi="Arial" w:cs="Arial"/>
        </w:rPr>
        <w:t>A Class II, Division 2 location is a location</w:t>
      </w:r>
    </w:p>
    <w:p w14:paraId="206164C8" w14:textId="77777777" w:rsidR="007E5C7D" w:rsidRPr="007E5C7D" w:rsidRDefault="007E5C7D" w:rsidP="007E5C7D">
      <w:pPr>
        <w:ind w:left="720"/>
        <w:jc w:val="both"/>
        <w:rPr>
          <w:rFonts w:ascii="Arial" w:hAnsi="Arial" w:cs="Arial"/>
        </w:rPr>
      </w:pPr>
      <w:r w:rsidRPr="007E5C7D">
        <w:rPr>
          <w:rFonts w:ascii="Arial" w:hAnsi="Arial" w:cs="Arial"/>
        </w:rPr>
        <w:t>(1) In which combustible dust due to abnormal operations may be present in the air in quantities sufficient to produce explosive or ignitible mixtures; or</w:t>
      </w:r>
    </w:p>
    <w:p w14:paraId="53641C4E" w14:textId="77777777" w:rsidR="007E5C7D" w:rsidRPr="007E5C7D" w:rsidRDefault="007E5C7D" w:rsidP="007E5C7D">
      <w:pPr>
        <w:ind w:left="720"/>
        <w:jc w:val="both"/>
        <w:rPr>
          <w:rFonts w:ascii="Arial" w:hAnsi="Arial" w:cs="Arial"/>
        </w:rPr>
      </w:pPr>
      <w:r w:rsidRPr="007E5C7D">
        <w:rPr>
          <w:rFonts w:ascii="Arial" w:hAnsi="Arial" w:cs="Arial"/>
        </w:rPr>
        <w:t>(2) Where combustible dust accumulations are present but are normally insufficient to interfere with the normal operation of electrical equipment or other apparatus, but could as a result of infrequent malfunctioning of handling or processing equipment become suspended in</w:t>
      </w:r>
    </w:p>
    <w:p w14:paraId="429EB966" w14:textId="77777777" w:rsidR="007E5C7D" w:rsidRPr="007E5C7D" w:rsidRDefault="007E5C7D" w:rsidP="007E5C7D">
      <w:pPr>
        <w:ind w:left="720"/>
        <w:jc w:val="both"/>
        <w:rPr>
          <w:rFonts w:ascii="Arial" w:hAnsi="Arial" w:cs="Arial"/>
        </w:rPr>
      </w:pPr>
      <w:r w:rsidRPr="007E5C7D">
        <w:rPr>
          <w:rFonts w:ascii="Arial" w:hAnsi="Arial" w:cs="Arial"/>
        </w:rPr>
        <w:t>the air; or</w:t>
      </w:r>
    </w:p>
    <w:p w14:paraId="1DD0F380" w14:textId="612AF62B" w:rsidR="007E5C7D" w:rsidRPr="00BC6F28" w:rsidRDefault="007E5C7D" w:rsidP="000B0BEB">
      <w:pPr>
        <w:ind w:left="720"/>
        <w:jc w:val="both"/>
        <w:rPr>
          <w:rFonts w:ascii="Arial" w:hAnsi="Arial" w:cs="Arial"/>
        </w:rPr>
      </w:pPr>
      <w:r w:rsidRPr="007E5C7D">
        <w:rPr>
          <w:rFonts w:ascii="Arial" w:hAnsi="Arial" w:cs="Arial"/>
        </w:rPr>
        <w:t>(3) In which combustible dust accumulations on, in, or in the vicinity of the electrical equipment could be sufficient to interfere with the safe dissipation of heat from electrical equipment, or could be ignitible by abnormal operation or failure of electrical equipment.</w:t>
      </w:r>
    </w:p>
    <w:p w14:paraId="37B00BD9" w14:textId="77777777" w:rsidR="00714BE1" w:rsidRDefault="00714BE1" w:rsidP="00714BE1">
      <w:pPr>
        <w:ind w:left="360"/>
        <w:jc w:val="both"/>
        <w:rPr>
          <w:rFonts w:ascii="Arial" w:hAnsi="Arial" w:cs="Arial"/>
        </w:rPr>
      </w:pPr>
    </w:p>
    <w:p w14:paraId="4EA2BF72" w14:textId="77777777" w:rsidR="00BC6F28" w:rsidRPr="0089695B" w:rsidRDefault="00BC6F28" w:rsidP="00714BE1">
      <w:pPr>
        <w:ind w:left="360"/>
        <w:jc w:val="both"/>
        <w:rPr>
          <w:rFonts w:ascii="Arial" w:hAnsi="Arial" w:cs="Arial"/>
        </w:rPr>
      </w:pPr>
    </w:p>
    <w:p w14:paraId="37B00BDA" w14:textId="77777777" w:rsidR="00714BE1" w:rsidRPr="0089695B" w:rsidRDefault="00086DF9" w:rsidP="00714BE1">
      <w:pPr>
        <w:numPr>
          <w:ilvl w:val="0"/>
          <w:numId w:val="7"/>
        </w:numPr>
        <w:jc w:val="both"/>
        <w:rPr>
          <w:rFonts w:ascii="Arial" w:hAnsi="Arial" w:cs="Arial"/>
        </w:rPr>
      </w:pPr>
      <w:r w:rsidRPr="0089695B">
        <w:rPr>
          <w:rFonts w:ascii="Arial" w:hAnsi="Arial" w:cs="Arial"/>
          <w:b/>
          <w:bCs/>
        </w:rPr>
        <w:t>REFERENCES</w:t>
      </w:r>
    </w:p>
    <w:p w14:paraId="37B00BE0" w14:textId="176F7885" w:rsidR="00205984" w:rsidRDefault="000B0BEB" w:rsidP="00205984">
      <w:pPr>
        <w:numPr>
          <w:ilvl w:val="1"/>
          <w:numId w:val="7"/>
        </w:numPr>
        <w:jc w:val="both"/>
        <w:rPr>
          <w:rFonts w:ascii="Arial" w:hAnsi="Arial" w:cs="Arial"/>
        </w:rPr>
      </w:pPr>
      <w:r>
        <w:rPr>
          <w:rFonts w:ascii="Arial" w:hAnsi="Arial" w:cs="Arial"/>
        </w:rPr>
        <w:t>NFPA 70, National Electric Code</w:t>
      </w:r>
    </w:p>
    <w:p w14:paraId="789C0474" w14:textId="51169BD9" w:rsidR="000B0BEB" w:rsidRDefault="000B0BEB" w:rsidP="00205984">
      <w:pPr>
        <w:numPr>
          <w:ilvl w:val="1"/>
          <w:numId w:val="7"/>
        </w:numPr>
        <w:jc w:val="both"/>
        <w:rPr>
          <w:rFonts w:ascii="Arial" w:hAnsi="Arial" w:cs="Arial"/>
        </w:rPr>
      </w:pPr>
      <w:r>
        <w:rPr>
          <w:rFonts w:ascii="Arial" w:hAnsi="Arial" w:cs="Arial"/>
        </w:rPr>
        <w:t xml:space="preserve">NFPA 497, </w:t>
      </w:r>
      <w:r w:rsidRPr="000B0BEB">
        <w:rPr>
          <w:rFonts w:ascii="Arial" w:hAnsi="Arial" w:cs="Arial"/>
        </w:rPr>
        <w:t>Recommended Practice for the Classification of Flammable Liquids, Gases, or Vapors and of Hazardous (Classified) Locations for Electrical Installations in Chemical Process Areas</w:t>
      </w:r>
    </w:p>
    <w:p w14:paraId="39BB4F04" w14:textId="630EE17A" w:rsidR="000B0BEB" w:rsidRPr="0089695B" w:rsidRDefault="000B0BEB" w:rsidP="00205984">
      <w:pPr>
        <w:numPr>
          <w:ilvl w:val="1"/>
          <w:numId w:val="7"/>
        </w:numPr>
        <w:jc w:val="both"/>
        <w:rPr>
          <w:rFonts w:ascii="Arial" w:hAnsi="Arial" w:cs="Arial"/>
        </w:rPr>
      </w:pPr>
      <w:r>
        <w:rPr>
          <w:rFonts w:ascii="Arial" w:hAnsi="Arial" w:cs="Arial"/>
        </w:rPr>
        <w:t xml:space="preserve">NFPA 499, </w:t>
      </w:r>
      <w:r w:rsidRPr="000B0BEB">
        <w:rPr>
          <w:rFonts w:ascii="Arial" w:hAnsi="Arial" w:cs="Arial"/>
        </w:rPr>
        <w:t>Recommended Practice for the Classification of Combustible Dusts and of Hazardous (Classified) Locations for Electrical Installations in Chemical Process Areas</w:t>
      </w:r>
    </w:p>
    <w:p w14:paraId="37B00BE1" w14:textId="77777777" w:rsidR="00205984" w:rsidRPr="0089695B" w:rsidRDefault="00205984" w:rsidP="00205984">
      <w:pPr>
        <w:ind w:left="360"/>
        <w:jc w:val="both"/>
        <w:rPr>
          <w:rFonts w:ascii="Arial" w:hAnsi="Arial" w:cs="Arial"/>
        </w:rPr>
      </w:pPr>
    </w:p>
    <w:p w14:paraId="37B00BE2" w14:textId="77777777" w:rsidR="00205984" w:rsidRPr="000B0BEB" w:rsidRDefault="00205984" w:rsidP="00205984">
      <w:pPr>
        <w:numPr>
          <w:ilvl w:val="0"/>
          <w:numId w:val="7"/>
        </w:numPr>
        <w:jc w:val="both"/>
        <w:rPr>
          <w:rFonts w:ascii="Arial" w:hAnsi="Arial" w:cs="Arial"/>
        </w:rPr>
      </w:pPr>
      <w:r w:rsidRPr="007A7CB9">
        <w:rPr>
          <w:rFonts w:ascii="Arial" w:hAnsi="Arial" w:cs="Arial"/>
          <w:b/>
        </w:rPr>
        <w:t>REQUIREMENTS</w:t>
      </w:r>
    </w:p>
    <w:p w14:paraId="7C57576A" w14:textId="77777777" w:rsidR="000B0BEB" w:rsidRPr="000B0BEB" w:rsidRDefault="000B0BEB" w:rsidP="000B0BEB">
      <w:pPr>
        <w:ind w:left="360"/>
        <w:jc w:val="both"/>
        <w:rPr>
          <w:rFonts w:ascii="Arial" w:hAnsi="Arial" w:cs="Arial"/>
        </w:rPr>
      </w:pPr>
    </w:p>
    <w:p w14:paraId="3DA52B8B" w14:textId="76B5FF71" w:rsidR="000B0BEB" w:rsidRDefault="000B0BEB" w:rsidP="000B0BEB">
      <w:pPr>
        <w:numPr>
          <w:ilvl w:val="1"/>
          <w:numId w:val="7"/>
        </w:numPr>
        <w:jc w:val="both"/>
        <w:rPr>
          <w:rFonts w:ascii="Arial" w:hAnsi="Arial" w:cs="Arial"/>
          <w:bCs/>
        </w:rPr>
      </w:pPr>
      <w:r w:rsidRPr="000B0BEB">
        <w:rPr>
          <w:rFonts w:ascii="Arial" w:hAnsi="Arial" w:cs="Arial"/>
          <w:bCs/>
        </w:rPr>
        <w:t xml:space="preserve">Each </w:t>
      </w:r>
      <w:r>
        <w:rPr>
          <w:rFonts w:ascii="Arial" w:hAnsi="Arial" w:cs="Arial"/>
          <w:bCs/>
        </w:rPr>
        <w:t xml:space="preserve">Unit </w:t>
      </w:r>
      <w:r w:rsidRPr="000B0BEB">
        <w:rPr>
          <w:rFonts w:ascii="Arial" w:hAnsi="Arial" w:cs="Arial"/>
          <w:bCs/>
        </w:rPr>
        <w:t>where a HAZLOC</w:t>
      </w:r>
      <w:r>
        <w:rPr>
          <w:rFonts w:ascii="Arial" w:hAnsi="Arial" w:cs="Arial"/>
          <w:bCs/>
        </w:rPr>
        <w:t xml:space="preserve"> is present, the Unit management is responsible for demarcating its HAZLOCs, using the colors and markings as defined in this program.</w:t>
      </w:r>
    </w:p>
    <w:p w14:paraId="373CB524" w14:textId="77777777" w:rsidR="000B0BEB" w:rsidRDefault="000B0BEB" w:rsidP="000B0BEB">
      <w:pPr>
        <w:ind w:left="1080"/>
        <w:jc w:val="both"/>
        <w:rPr>
          <w:rFonts w:ascii="Arial" w:hAnsi="Arial" w:cs="Arial"/>
          <w:bCs/>
        </w:rPr>
      </w:pPr>
    </w:p>
    <w:p w14:paraId="37D82D89" w14:textId="65382DAA" w:rsidR="000B0BEB" w:rsidRDefault="000B0BEB" w:rsidP="000B0BEB">
      <w:pPr>
        <w:numPr>
          <w:ilvl w:val="1"/>
          <w:numId w:val="7"/>
        </w:numPr>
        <w:jc w:val="both"/>
        <w:rPr>
          <w:rFonts w:ascii="Arial" w:hAnsi="Arial" w:cs="Arial"/>
          <w:bCs/>
        </w:rPr>
      </w:pPr>
      <w:r>
        <w:rPr>
          <w:rFonts w:ascii="Arial" w:hAnsi="Arial" w:cs="Arial"/>
          <w:bCs/>
        </w:rPr>
        <w:t>Class I and II, Division 1 areas will be marked with a 3” RED stripe painted on the walking/working surface.</w:t>
      </w:r>
    </w:p>
    <w:p w14:paraId="2A407344" w14:textId="7CF18160" w:rsidR="000B0BEB" w:rsidRDefault="000B0BEB" w:rsidP="000B0BEB">
      <w:pPr>
        <w:numPr>
          <w:ilvl w:val="2"/>
          <w:numId w:val="7"/>
        </w:numPr>
        <w:ind w:left="2160" w:hanging="720"/>
        <w:jc w:val="both"/>
        <w:rPr>
          <w:rFonts w:ascii="Arial" w:hAnsi="Arial" w:cs="Arial"/>
          <w:bCs/>
        </w:rPr>
      </w:pPr>
      <w:r>
        <w:rPr>
          <w:rFonts w:ascii="Arial" w:hAnsi="Arial" w:cs="Arial"/>
          <w:bCs/>
        </w:rPr>
        <w:t>The font inside the 3” RED stripe will be WHITE, use a font similar to Arial, and be at least 2” tall.</w:t>
      </w:r>
    </w:p>
    <w:p w14:paraId="26993328" w14:textId="77777777" w:rsidR="000B0BEB" w:rsidRDefault="000B0BEB" w:rsidP="000B0BEB">
      <w:pPr>
        <w:ind w:left="1080"/>
        <w:jc w:val="both"/>
        <w:rPr>
          <w:rFonts w:ascii="Arial" w:hAnsi="Arial" w:cs="Arial"/>
          <w:bCs/>
        </w:rPr>
      </w:pPr>
    </w:p>
    <w:p w14:paraId="6573F7BF" w14:textId="57FD2C4C" w:rsidR="000B0BEB" w:rsidRDefault="000B0BEB" w:rsidP="000B0BEB">
      <w:pPr>
        <w:numPr>
          <w:ilvl w:val="1"/>
          <w:numId w:val="7"/>
        </w:numPr>
        <w:jc w:val="both"/>
        <w:rPr>
          <w:rFonts w:ascii="Arial" w:hAnsi="Arial" w:cs="Arial"/>
          <w:bCs/>
        </w:rPr>
      </w:pPr>
      <w:r>
        <w:rPr>
          <w:rFonts w:ascii="Arial" w:hAnsi="Arial" w:cs="Arial"/>
          <w:bCs/>
        </w:rPr>
        <w:t xml:space="preserve">Class I and II, Division 2 areas </w:t>
      </w:r>
      <w:r>
        <w:rPr>
          <w:rFonts w:ascii="Arial" w:hAnsi="Arial" w:cs="Arial"/>
          <w:bCs/>
        </w:rPr>
        <w:t xml:space="preserve">will be marked with a 3” </w:t>
      </w:r>
      <w:r>
        <w:rPr>
          <w:rFonts w:ascii="Arial" w:hAnsi="Arial" w:cs="Arial"/>
          <w:bCs/>
        </w:rPr>
        <w:t>YELLOW</w:t>
      </w:r>
      <w:r>
        <w:rPr>
          <w:rFonts w:ascii="Arial" w:hAnsi="Arial" w:cs="Arial"/>
          <w:bCs/>
        </w:rPr>
        <w:t xml:space="preserve"> stripe painted on the walking/working surface.</w:t>
      </w:r>
    </w:p>
    <w:p w14:paraId="2CF454BF" w14:textId="11B2979D" w:rsidR="000B0BEB" w:rsidRDefault="000B0BEB" w:rsidP="000B0BEB">
      <w:pPr>
        <w:numPr>
          <w:ilvl w:val="2"/>
          <w:numId w:val="7"/>
        </w:numPr>
        <w:ind w:left="2160" w:hanging="720"/>
        <w:jc w:val="both"/>
        <w:rPr>
          <w:rFonts w:ascii="Arial" w:hAnsi="Arial" w:cs="Arial"/>
          <w:bCs/>
        </w:rPr>
      </w:pPr>
      <w:r>
        <w:rPr>
          <w:rFonts w:ascii="Arial" w:hAnsi="Arial" w:cs="Arial"/>
          <w:bCs/>
        </w:rPr>
        <w:t xml:space="preserve">The font inside the 3” </w:t>
      </w:r>
      <w:r>
        <w:rPr>
          <w:rFonts w:ascii="Arial" w:hAnsi="Arial" w:cs="Arial"/>
          <w:bCs/>
        </w:rPr>
        <w:t>YELLOW</w:t>
      </w:r>
      <w:r>
        <w:rPr>
          <w:rFonts w:ascii="Arial" w:hAnsi="Arial" w:cs="Arial"/>
          <w:bCs/>
        </w:rPr>
        <w:t xml:space="preserve"> stripe will be </w:t>
      </w:r>
      <w:r>
        <w:rPr>
          <w:rFonts w:ascii="Arial" w:hAnsi="Arial" w:cs="Arial"/>
          <w:bCs/>
        </w:rPr>
        <w:t>BLACK</w:t>
      </w:r>
      <w:r>
        <w:rPr>
          <w:rFonts w:ascii="Arial" w:hAnsi="Arial" w:cs="Arial"/>
          <w:bCs/>
        </w:rPr>
        <w:t>, us</w:t>
      </w:r>
      <w:r>
        <w:rPr>
          <w:rFonts w:ascii="Arial" w:hAnsi="Arial" w:cs="Arial"/>
          <w:bCs/>
        </w:rPr>
        <w:t>e</w:t>
      </w:r>
      <w:r>
        <w:rPr>
          <w:rFonts w:ascii="Arial" w:hAnsi="Arial" w:cs="Arial"/>
          <w:bCs/>
        </w:rPr>
        <w:t xml:space="preserve"> a font similar to Arial, and </w:t>
      </w:r>
      <w:r>
        <w:rPr>
          <w:rFonts w:ascii="Arial" w:hAnsi="Arial" w:cs="Arial"/>
          <w:bCs/>
        </w:rPr>
        <w:t>be</w:t>
      </w:r>
      <w:r>
        <w:rPr>
          <w:rFonts w:ascii="Arial" w:hAnsi="Arial" w:cs="Arial"/>
          <w:bCs/>
        </w:rPr>
        <w:t xml:space="preserve"> at least 2” tall.</w:t>
      </w:r>
    </w:p>
    <w:p w14:paraId="19D0401C" w14:textId="7F9DFBA9" w:rsidR="000B0BEB" w:rsidRDefault="000B0BEB" w:rsidP="000B0BEB">
      <w:pPr>
        <w:numPr>
          <w:ilvl w:val="1"/>
          <w:numId w:val="7"/>
        </w:numPr>
        <w:jc w:val="both"/>
        <w:rPr>
          <w:rFonts w:ascii="Arial" w:hAnsi="Arial" w:cs="Arial"/>
          <w:bCs/>
        </w:rPr>
      </w:pPr>
      <w:r>
        <w:rPr>
          <w:rFonts w:ascii="Arial" w:hAnsi="Arial" w:cs="Arial"/>
          <w:bCs/>
        </w:rPr>
        <w:t>The Unit is responsible for maintaining these markings and inspecting/auditing these markings at least annually.</w:t>
      </w:r>
    </w:p>
    <w:p w14:paraId="41A425CC" w14:textId="6BBF7C93" w:rsidR="000B0BEB" w:rsidRDefault="000B0BEB" w:rsidP="000B0BEB">
      <w:pPr>
        <w:numPr>
          <w:ilvl w:val="2"/>
          <w:numId w:val="7"/>
        </w:numPr>
        <w:ind w:left="2160" w:hanging="720"/>
        <w:jc w:val="both"/>
        <w:rPr>
          <w:rFonts w:ascii="Arial" w:hAnsi="Arial" w:cs="Arial"/>
          <w:bCs/>
        </w:rPr>
      </w:pPr>
      <w:r>
        <w:rPr>
          <w:rFonts w:ascii="Arial" w:hAnsi="Arial" w:cs="Arial"/>
          <w:bCs/>
        </w:rPr>
        <w:t>Any Management of Change that would cause the area demarcations to CHANGE, must be updated per the MOC.</w:t>
      </w:r>
    </w:p>
    <w:p w14:paraId="343504AA" w14:textId="77777777" w:rsidR="000B0BEB" w:rsidRDefault="000B0BEB" w:rsidP="000B0BEB">
      <w:pPr>
        <w:ind w:left="1080"/>
        <w:jc w:val="both"/>
        <w:rPr>
          <w:rFonts w:ascii="Arial" w:hAnsi="Arial" w:cs="Arial"/>
          <w:bCs/>
        </w:rPr>
      </w:pPr>
    </w:p>
    <w:p w14:paraId="400F62BF" w14:textId="03D241DA" w:rsidR="000B0BEB" w:rsidRPr="000B0BEB" w:rsidRDefault="000B0BEB" w:rsidP="000B0BEB">
      <w:pPr>
        <w:numPr>
          <w:ilvl w:val="1"/>
          <w:numId w:val="7"/>
        </w:numPr>
        <w:jc w:val="both"/>
        <w:rPr>
          <w:rFonts w:ascii="Arial" w:hAnsi="Arial" w:cs="Arial"/>
          <w:bCs/>
        </w:rPr>
      </w:pPr>
      <w:r>
        <w:rPr>
          <w:rFonts w:ascii="Arial" w:hAnsi="Arial" w:cs="Arial"/>
          <w:bCs/>
        </w:rPr>
        <w:t>See APPENDIX A for visuals</w:t>
      </w:r>
    </w:p>
    <w:p w14:paraId="37B00C60" w14:textId="19396F86" w:rsidR="00701A12" w:rsidRPr="0089695B" w:rsidRDefault="00701A12" w:rsidP="000B0BEB">
      <w:pPr>
        <w:jc w:val="both"/>
        <w:rPr>
          <w:rFonts w:ascii="Arial" w:hAnsi="Arial" w:cs="Arial"/>
        </w:rPr>
      </w:pPr>
    </w:p>
    <w:p w14:paraId="37B00C61" w14:textId="77777777" w:rsidR="00701A12" w:rsidRPr="0089695B" w:rsidRDefault="00205984" w:rsidP="00701A12">
      <w:pPr>
        <w:numPr>
          <w:ilvl w:val="0"/>
          <w:numId w:val="7"/>
        </w:numPr>
        <w:jc w:val="both"/>
        <w:rPr>
          <w:rFonts w:ascii="Arial" w:hAnsi="Arial" w:cs="Arial"/>
        </w:rPr>
      </w:pPr>
      <w:r w:rsidRPr="0089695B">
        <w:rPr>
          <w:rFonts w:ascii="Arial" w:hAnsi="Arial" w:cs="Arial"/>
          <w:b/>
          <w:u w:val="single"/>
        </w:rPr>
        <w:lastRenderedPageBreak/>
        <w:t>TRAINING</w:t>
      </w:r>
    </w:p>
    <w:p w14:paraId="37B00C62" w14:textId="77777777" w:rsidR="00701A12" w:rsidRPr="0089695B" w:rsidRDefault="00205984" w:rsidP="00701A12">
      <w:pPr>
        <w:numPr>
          <w:ilvl w:val="1"/>
          <w:numId w:val="7"/>
        </w:numPr>
        <w:jc w:val="both"/>
        <w:rPr>
          <w:rFonts w:ascii="Arial" w:hAnsi="Arial" w:cs="Arial"/>
        </w:rPr>
      </w:pPr>
      <w:r w:rsidRPr="0089695B">
        <w:rPr>
          <w:rFonts w:ascii="Arial" w:hAnsi="Arial" w:cs="Arial"/>
        </w:rPr>
        <w:t>PSM System Work Activities</w:t>
      </w:r>
    </w:p>
    <w:p w14:paraId="37B00C63" w14:textId="7E6B7A94" w:rsidR="00701A12" w:rsidRPr="0089695B" w:rsidRDefault="00205984" w:rsidP="00F24EAA">
      <w:pPr>
        <w:numPr>
          <w:ilvl w:val="2"/>
          <w:numId w:val="7"/>
        </w:numPr>
        <w:ind w:left="2160" w:hanging="720"/>
        <w:jc w:val="both"/>
        <w:rPr>
          <w:rFonts w:ascii="Arial" w:hAnsi="Arial" w:cs="Arial"/>
        </w:rPr>
      </w:pPr>
      <w:r w:rsidRPr="0089695B">
        <w:rPr>
          <w:rFonts w:ascii="Arial" w:hAnsi="Arial" w:cs="Arial"/>
        </w:rPr>
        <w:t xml:space="preserve">Personnel, including contract employees, assigned to manage, perform, or verify the work activities </w:t>
      </w:r>
      <w:r w:rsidR="000B0BEB">
        <w:rPr>
          <w:rFonts w:ascii="Arial" w:hAnsi="Arial" w:cs="Arial"/>
        </w:rPr>
        <w:t>in HAZLOCs</w:t>
      </w:r>
      <w:r w:rsidRPr="0089695B">
        <w:rPr>
          <w:rFonts w:ascii="Arial" w:hAnsi="Arial" w:cs="Arial"/>
        </w:rPr>
        <w:t xml:space="preserve"> shall be trained in, and demonstrate an understanding of, this procedure.</w:t>
      </w:r>
    </w:p>
    <w:p w14:paraId="37B00C64" w14:textId="77777777" w:rsidR="00701A12" w:rsidRPr="0089695B" w:rsidRDefault="00701A12" w:rsidP="00701A12">
      <w:pPr>
        <w:ind w:left="360"/>
        <w:jc w:val="both"/>
        <w:rPr>
          <w:rFonts w:ascii="Arial" w:hAnsi="Arial" w:cs="Arial"/>
        </w:rPr>
      </w:pPr>
    </w:p>
    <w:p w14:paraId="37B00C75" w14:textId="77777777" w:rsidR="00701A12" w:rsidRPr="0089695B" w:rsidRDefault="00701A12" w:rsidP="00701A12">
      <w:pPr>
        <w:tabs>
          <w:tab w:val="left" w:pos="720"/>
        </w:tabs>
        <w:ind w:left="360"/>
        <w:jc w:val="both"/>
        <w:rPr>
          <w:rFonts w:ascii="Arial" w:hAnsi="Arial" w:cs="Arial"/>
        </w:rPr>
      </w:pPr>
    </w:p>
    <w:p w14:paraId="37B00C76" w14:textId="19017D26" w:rsidR="00701A12" w:rsidRPr="006B02CC" w:rsidRDefault="006B02CC" w:rsidP="00701A12">
      <w:pPr>
        <w:numPr>
          <w:ilvl w:val="0"/>
          <w:numId w:val="7"/>
        </w:numPr>
        <w:tabs>
          <w:tab w:val="left" w:pos="720"/>
        </w:tabs>
        <w:jc w:val="both"/>
        <w:rPr>
          <w:rFonts w:ascii="Arial" w:hAnsi="Arial" w:cs="Arial"/>
        </w:rPr>
      </w:pPr>
      <w:r>
        <w:rPr>
          <w:rFonts w:ascii="Arial" w:hAnsi="Arial" w:cs="Arial"/>
          <w:b/>
          <w:u w:val="single"/>
        </w:rPr>
        <w:t>APPENDICES</w:t>
      </w:r>
    </w:p>
    <w:p w14:paraId="57A50DB5" w14:textId="724968F9" w:rsidR="006B02CC" w:rsidRPr="0089695B" w:rsidRDefault="006B02CC" w:rsidP="006B02CC">
      <w:pPr>
        <w:numPr>
          <w:ilvl w:val="1"/>
          <w:numId w:val="7"/>
        </w:numPr>
        <w:tabs>
          <w:tab w:val="left" w:pos="720"/>
        </w:tabs>
        <w:jc w:val="both"/>
        <w:rPr>
          <w:rFonts w:ascii="Arial" w:hAnsi="Arial" w:cs="Arial"/>
        </w:rPr>
      </w:pPr>
      <w:r>
        <w:rPr>
          <w:rFonts w:ascii="Arial" w:hAnsi="Arial" w:cs="Arial"/>
        </w:rPr>
        <w:t>Visual Aids</w:t>
      </w:r>
    </w:p>
    <w:p w14:paraId="37B00C79" w14:textId="77777777" w:rsidR="00F24EAA" w:rsidRDefault="00F24EAA" w:rsidP="00701A12">
      <w:pPr>
        <w:tabs>
          <w:tab w:val="left" w:pos="720"/>
        </w:tabs>
        <w:ind w:left="360"/>
        <w:jc w:val="center"/>
        <w:rPr>
          <w:rFonts w:ascii="Arial" w:hAnsi="Arial" w:cs="Arial"/>
        </w:rPr>
      </w:pPr>
    </w:p>
    <w:p w14:paraId="56690C82" w14:textId="77777777" w:rsidR="006B02CC" w:rsidRDefault="006B02CC" w:rsidP="00701A12">
      <w:pPr>
        <w:tabs>
          <w:tab w:val="left" w:pos="720"/>
        </w:tabs>
        <w:ind w:left="360"/>
        <w:jc w:val="center"/>
        <w:rPr>
          <w:rFonts w:ascii="Arial" w:hAnsi="Arial" w:cs="Arial"/>
        </w:rPr>
      </w:pPr>
    </w:p>
    <w:p w14:paraId="1BFF4AA6" w14:textId="77777777" w:rsidR="006B02CC" w:rsidRDefault="006B02CC" w:rsidP="00701A12">
      <w:pPr>
        <w:tabs>
          <w:tab w:val="left" w:pos="720"/>
        </w:tabs>
        <w:ind w:left="360"/>
        <w:jc w:val="center"/>
        <w:rPr>
          <w:rFonts w:ascii="Arial" w:hAnsi="Arial" w:cs="Arial"/>
        </w:rPr>
      </w:pPr>
    </w:p>
    <w:p w14:paraId="3709A794" w14:textId="77777777" w:rsidR="006B02CC" w:rsidRDefault="006B02CC" w:rsidP="00701A12">
      <w:pPr>
        <w:tabs>
          <w:tab w:val="left" w:pos="720"/>
        </w:tabs>
        <w:ind w:left="360"/>
        <w:jc w:val="center"/>
        <w:rPr>
          <w:rFonts w:ascii="Arial" w:hAnsi="Arial" w:cs="Arial"/>
          <w:b/>
          <w:u w:val="single"/>
        </w:rPr>
      </w:pPr>
    </w:p>
    <w:p w14:paraId="37B00C7A" w14:textId="77777777" w:rsidR="00086DF9" w:rsidRPr="0089695B" w:rsidRDefault="00086DF9" w:rsidP="00701A12">
      <w:pPr>
        <w:tabs>
          <w:tab w:val="left" w:pos="720"/>
        </w:tabs>
        <w:ind w:left="360"/>
        <w:jc w:val="center"/>
        <w:rPr>
          <w:rFonts w:ascii="Arial" w:hAnsi="Arial" w:cs="Arial"/>
        </w:rPr>
      </w:pPr>
      <w:r w:rsidRPr="0089695B">
        <w:rPr>
          <w:rFonts w:ascii="Arial" w:hAnsi="Arial" w:cs="Arial"/>
          <w:b/>
          <w:u w:val="single"/>
        </w:rPr>
        <w:t>REVISION HISTORY</w:t>
      </w:r>
    </w:p>
    <w:p w14:paraId="37B00C7B" w14:textId="77777777" w:rsidR="00086DF9" w:rsidRPr="0089695B" w:rsidRDefault="00086DF9">
      <w:pPr>
        <w:jc w:val="both"/>
        <w:rPr>
          <w:rFonts w:ascii="Arial" w:hAnsi="Arial" w:cs="Arial"/>
        </w:rPr>
      </w:pPr>
    </w:p>
    <w:tbl>
      <w:tblPr>
        <w:tblW w:w="0" w:type="auto"/>
        <w:tblInd w:w="80" w:type="dxa"/>
        <w:tblLayout w:type="fixed"/>
        <w:tblCellMar>
          <w:left w:w="80" w:type="dxa"/>
          <w:right w:w="80" w:type="dxa"/>
        </w:tblCellMar>
        <w:tblLook w:val="0000" w:firstRow="0" w:lastRow="0" w:firstColumn="0" w:lastColumn="0" w:noHBand="0" w:noVBand="0"/>
      </w:tblPr>
      <w:tblGrid>
        <w:gridCol w:w="1080"/>
        <w:gridCol w:w="1080"/>
        <w:gridCol w:w="2160"/>
        <w:gridCol w:w="3870"/>
        <w:gridCol w:w="1170"/>
      </w:tblGrid>
      <w:tr w:rsidR="00086DF9" w:rsidRPr="0089695B" w14:paraId="37B00C83" w14:textId="77777777">
        <w:tc>
          <w:tcPr>
            <w:tcW w:w="1080" w:type="dxa"/>
            <w:tcBorders>
              <w:top w:val="single" w:sz="6" w:space="0" w:color="auto"/>
              <w:left w:val="single" w:sz="6" w:space="0" w:color="auto"/>
              <w:bottom w:val="double" w:sz="6" w:space="0" w:color="auto"/>
            </w:tcBorders>
          </w:tcPr>
          <w:p w14:paraId="37B00C7C" w14:textId="77777777" w:rsidR="00086DF9" w:rsidRPr="0089695B" w:rsidRDefault="00086DF9">
            <w:pPr>
              <w:jc w:val="center"/>
              <w:rPr>
                <w:rFonts w:ascii="Arial" w:hAnsi="Arial" w:cs="Arial"/>
                <w:b/>
              </w:rPr>
            </w:pPr>
            <w:r w:rsidRPr="0089695B">
              <w:rPr>
                <w:rFonts w:ascii="Arial" w:hAnsi="Arial" w:cs="Arial"/>
                <w:b/>
              </w:rPr>
              <w:t>Revision No.</w:t>
            </w:r>
          </w:p>
        </w:tc>
        <w:tc>
          <w:tcPr>
            <w:tcW w:w="1080" w:type="dxa"/>
            <w:tcBorders>
              <w:top w:val="single" w:sz="6" w:space="0" w:color="auto"/>
              <w:left w:val="single" w:sz="6" w:space="0" w:color="auto"/>
              <w:bottom w:val="double" w:sz="6" w:space="0" w:color="auto"/>
            </w:tcBorders>
          </w:tcPr>
          <w:p w14:paraId="37B00C7D" w14:textId="77777777" w:rsidR="00086DF9" w:rsidRPr="0089695B" w:rsidRDefault="00086DF9">
            <w:pPr>
              <w:jc w:val="center"/>
              <w:rPr>
                <w:rFonts w:ascii="Arial" w:hAnsi="Arial" w:cs="Arial"/>
                <w:b/>
              </w:rPr>
            </w:pPr>
            <w:r w:rsidRPr="0089695B">
              <w:rPr>
                <w:rFonts w:ascii="Arial" w:hAnsi="Arial" w:cs="Arial"/>
                <w:b/>
              </w:rPr>
              <w:t>Effective Date</w:t>
            </w:r>
          </w:p>
        </w:tc>
        <w:tc>
          <w:tcPr>
            <w:tcW w:w="2160" w:type="dxa"/>
            <w:tcBorders>
              <w:top w:val="single" w:sz="6" w:space="0" w:color="auto"/>
              <w:left w:val="single" w:sz="6" w:space="0" w:color="auto"/>
              <w:bottom w:val="double" w:sz="6" w:space="0" w:color="auto"/>
            </w:tcBorders>
          </w:tcPr>
          <w:p w14:paraId="37B00C7E" w14:textId="77777777" w:rsidR="00086DF9" w:rsidRPr="0089695B" w:rsidRDefault="00086DF9">
            <w:pPr>
              <w:jc w:val="center"/>
              <w:rPr>
                <w:rFonts w:ascii="Arial" w:hAnsi="Arial" w:cs="Arial"/>
                <w:b/>
              </w:rPr>
            </w:pPr>
            <w:r w:rsidRPr="0089695B">
              <w:rPr>
                <w:rFonts w:ascii="Arial" w:hAnsi="Arial" w:cs="Arial"/>
                <w:b/>
              </w:rPr>
              <w:t>Responsible</w:t>
            </w:r>
          </w:p>
          <w:p w14:paraId="37B00C7F" w14:textId="77777777" w:rsidR="00086DF9" w:rsidRPr="0089695B" w:rsidRDefault="00086DF9">
            <w:pPr>
              <w:jc w:val="center"/>
              <w:rPr>
                <w:rFonts w:ascii="Arial" w:hAnsi="Arial" w:cs="Arial"/>
                <w:b/>
              </w:rPr>
            </w:pPr>
            <w:r w:rsidRPr="0089695B">
              <w:rPr>
                <w:rFonts w:ascii="Arial" w:hAnsi="Arial" w:cs="Arial"/>
                <w:b/>
              </w:rPr>
              <w:t>Person</w:t>
            </w:r>
          </w:p>
        </w:tc>
        <w:tc>
          <w:tcPr>
            <w:tcW w:w="3870" w:type="dxa"/>
            <w:tcBorders>
              <w:top w:val="single" w:sz="6" w:space="0" w:color="auto"/>
              <w:left w:val="single" w:sz="6" w:space="0" w:color="auto"/>
              <w:bottom w:val="double" w:sz="6" w:space="0" w:color="auto"/>
              <w:right w:val="single" w:sz="6" w:space="0" w:color="auto"/>
            </w:tcBorders>
          </w:tcPr>
          <w:p w14:paraId="37B00C80" w14:textId="77777777" w:rsidR="00086DF9" w:rsidRPr="0089695B" w:rsidRDefault="00086DF9">
            <w:pPr>
              <w:jc w:val="center"/>
              <w:rPr>
                <w:rFonts w:ascii="Arial" w:hAnsi="Arial" w:cs="Arial"/>
                <w:b/>
              </w:rPr>
            </w:pPr>
            <w:r w:rsidRPr="0089695B">
              <w:rPr>
                <w:rFonts w:ascii="Arial" w:hAnsi="Arial" w:cs="Arial"/>
                <w:b/>
              </w:rPr>
              <w:t>Description</w:t>
            </w:r>
          </w:p>
          <w:p w14:paraId="37B00C81" w14:textId="77777777" w:rsidR="00086DF9" w:rsidRPr="0089695B" w:rsidRDefault="00086DF9">
            <w:pPr>
              <w:jc w:val="center"/>
              <w:rPr>
                <w:rFonts w:ascii="Arial" w:hAnsi="Arial" w:cs="Arial"/>
                <w:b/>
              </w:rPr>
            </w:pPr>
            <w:r w:rsidRPr="0089695B">
              <w:rPr>
                <w:rFonts w:ascii="Arial" w:hAnsi="Arial" w:cs="Arial"/>
                <w:b/>
              </w:rPr>
              <w:t>of Revision</w:t>
            </w:r>
          </w:p>
        </w:tc>
        <w:tc>
          <w:tcPr>
            <w:tcW w:w="1170" w:type="dxa"/>
            <w:tcBorders>
              <w:top w:val="single" w:sz="6" w:space="0" w:color="auto"/>
              <w:bottom w:val="double" w:sz="6" w:space="0" w:color="auto"/>
              <w:right w:val="single" w:sz="6" w:space="0" w:color="auto"/>
            </w:tcBorders>
          </w:tcPr>
          <w:p w14:paraId="37B00C82" w14:textId="77777777" w:rsidR="00086DF9" w:rsidRPr="0089695B" w:rsidRDefault="00086DF9">
            <w:pPr>
              <w:rPr>
                <w:rFonts w:ascii="Arial" w:hAnsi="Arial" w:cs="Arial"/>
              </w:rPr>
            </w:pPr>
            <w:r w:rsidRPr="0089695B">
              <w:rPr>
                <w:rFonts w:ascii="Arial" w:hAnsi="Arial" w:cs="Arial"/>
                <w:b/>
              </w:rPr>
              <w:t>Approved By</w:t>
            </w:r>
          </w:p>
        </w:tc>
      </w:tr>
      <w:tr w:rsidR="00086DF9" w:rsidRPr="0089695B" w14:paraId="37B00C89" w14:textId="77777777">
        <w:tc>
          <w:tcPr>
            <w:tcW w:w="1080" w:type="dxa"/>
            <w:tcBorders>
              <w:left w:val="single" w:sz="6" w:space="0" w:color="auto"/>
              <w:bottom w:val="single" w:sz="6" w:space="0" w:color="auto"/>
            </w:tcBorders>
          </w:tcPr>
          <w:p w14:paraId="37B00C84" w14:textId="77777777" w:rsidR="00086DF9" w:rsidRPr="0089695B" w:rsidRDefault="00086DF9">
            <w:pPr>
              <w:jc w:val="center"/>
              <w:rPr>
                <w:rFonts w:ascii="Arial" w:hAnsi="Arial" w:cs="Arial"/>
              </w:rPr>
            </w:pPr>
            <w:r w:rsidRPr="0089695B">
              <w:rPr>
                <w:rFonts w:ascii="Arial" w:hAnsi="Arial" w:cs="Arial"/>
              </w:rPr>
              <w:t>0</w:t>
            </w:r>
          </w:p>
        </w:tc>
        <w:tc>
          <w:tcPr>
            <w:tcW w:w="1080" w:type="dxa"/>
            <w:tcBorders>
              <w:left w:val="single" w:sz="6" w:space="0" w:color="auto"/>
              <w:bottom w:val="single" w:sz="6" w:space="0" w:color="auto"/>
            </w:tcBorders>
          </w:tcPr>
          <w:p w14:paraId="37B00C85" w14:textId="77777777" w:rsidR="00086DF9" w:rsidRPr="0089695B" w:rsidRDefault="00086DF9">
            <w:pPr>
              <w:jc w:val="center"/>
              <w:rPr>
                <w:rFonts w:ascii="Arial" w:hAnsi="Arial" w:cs="Arial"/>
              </w:rPr>
            </w:pPr>
            <w:r w:rsidRPr="0089695B">
              <w:rPr>
                <w:rFonts w:ascii="Arial" w:hAnsi="Arial" w:cs="Arial"/>
              </w:rPr>
              <w:t>12/01/0</w:t>
            </w:r>
          </w:p>
        </w:tc>
        <w:tc>
          <w:tcPr>
            <w:tcW w:w="2160" w:type="dxa"/>
            <w:tcBorders>
              <w:left w:val="single" w:sz="6" w:space="0" w:color="auto"/>
              <w:bottom w:val="single" w:sz="6" w:space="0" w:color="auto"/>
            </w:tcBorders>
          </w:tcPr>
          <w:p w14:paraId="37B00C86" w14:textId="77777777" w:rsidR="00086DF9" w:rsidRPr="0089695B" w:rsidRDefault="00086DF9">
            <w:pPr>
              <w:jc w:val="center"/>
              <w:rPr>
                <w:rFonts w:ascii="Arial" w:hAnsi="Arial" w:cs="Arial"/>
              </w:rPr>
            </w:pPr>
            <w:r w:rsidRPr="0089695B">
              <w:rPr>
                <w:rFonts w:ascii="Arial" w:hAnsi="Arial" w:cs="Arial"/>
              </w:rPr>
              <w:t>Dennis Fitch</w:t>
            </w:r>
          </w:p>
        </w:tc>
        <w:tc>
          <w:tcPr>
            <w:tcW w:w="3870" w:type="dxa"/>
            <w:tcBorders>
              <w:left w:val="single" w:sz="6" w:space="0" w:color="auto"/>
              <w:bottom w:val="single" w:sz="6" w:space="0" w:color="auto"/>
              <w:right w:val="single" w:sz="6" w:space="0" w:color="auto"/>
            </w:tcBorders>
          </w:tcPr>
          <w:p w14:paraId="37B00C87" w14:textId="77777777" w:rsidR="00086DF9" w:rsidRPr="0089695B" w:rsidRDefault="00086DF9">
            <w:pPr>
              <w:jc w:val="center"/>
              <w:rPr>
                <w:rFonts w:ascii="Arial" w:hAnsi="Arial" w:cs="Arial"/>
              </w:rPr>
            </w:pPr>
            <w:r w:rsidRPr="0089695B">
              <w:rPr>
                <w:rFonts w:ascii="Arial" w:hAnsi="Arial" w:cs="Arial"/>
              </w:rPr>
              <w:t>Initial Issue</w:t>
            </w:r>
          </w:p>
        </w:tc>
        <w:tc>
          <w:tcPr>
            <w:tcW w:w="1170" w:type="dxa"/>
            <w:tcBorders>
              <w:bottom w:val="single" w:sz="6" w:space="0" w:color="auto"/>
              <w:right w:val="single" w:sz="6" w:space="0" w:color="auto"/>
            </w:tcBorders>
          </w:tcPr>
          <w:p w14:paraId="37B00C88" w14:textId="77777777" w:rsidR="00086DF9" w:rsidRPr="0089695B" w:rsidRDefault="00DD1B9F">
            <w:pPr>
              <w:rPr>
                <w:rFonts w:ascii="Arial" w:hAnsi="Arial" w:cs="Arial"/>
              </w:rPr>
            </w:pPr>
            <w:r w:rsidRPr="0089695B">
              <w:rPr>
                <w:rFonts w:ascii="Arial" w:hAnsi="Arial" w:cs="Arial"/>
                <w:noProof/>
              </w:rPr>
              <w:object w:dxaOrig="6719" w:dyaOrig="3300" w14:anchorId="35EEB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75pt;height:18.55pt;mso-width-percent:0;mso-height-percent:0;mso-width-percent:0;mso-height-percent:0" o:ole="">
                  <v:imagedata r:id="rId7" o:title=""/>
                </v:shape>
                <o:OLEObject Type="Embed" ProgID="PBrush" ShapeID="_x0000_i1025" DrawAspect="Content" ObjectID="_1840104849" r:id="rId8"/>
              </w:object>
            </w:r>
          </w:p>
        </w:tc>
      </w:tr>
      <w:tr w:rsidR="00086DF9" w:rsidRPr="0089695B" w14:paraId="37B00C8F" w14:textId="77777777">
        <w:tc>
          <w:tcPr>
            <w:tcW w:w="1080" w:type="dxa"/>
            <w:tcBorders>
              <w:left w:val="single" w:sz="6" w:space="0" w:color="auto"/>
              <w:bottom w:val="single" w:sz="6" w:space="0" w:color="auto"/>
            </w:tcBorders>
          </w:tcPr>
          <w:p w14:paraId="37B00C8A" w14:textId="77777777" w:rsidR="00086DF9" w:rsidRPr="0089695B" w:rsidRDefault="00086DF9" w:rsidP="00C87259">
            <w:pPr>
              <w:jc w:val="center"/>
              <w:rPr>
                <w:rFonts w:ascii="Arial" w:hAnsi="Arial" w:cs="Arial"/>
              </w:rPr>
            </w:pPr>
            <w:r w:rsidRPr="0089695B">
              <w:rPr>
                <w:rFonts w:ascii="Arial" w:hAnsi="Arial" w:cs="Arial"/>
              </w:rPr>
              <w:t>0</w:t>
            </w:r>
          </w:p>
        </w:tc>
        <w:tc>
          <w:tcPr>
            <w:tcW w:w="1080" w:type="dxa"/>
            <w:tcBorders>
              <w:left w:val="single" w:sz="6" w:space="0" w:color="auto"/>
              <w:bottom w:val="single" w:sz="6" w:space="0" w:color="auto"/>
            </w:tcBorders>
          </w:tcPr>
          <w:p w14:paraId="37B00C8B" w14:textId="77777777" w:rsidR="00086DF9" w:rsidRPr="0089695B" w:rsidRDefault="00086DF9" w:rsidP="00C87259">
            <w:pPr>
              <w:jc w:val="center"/>
              <w:rPr>
                <w:rFonts w:ascii="Arial" w:hAnsi="Arial" w:cs="Arial"/>
              </w:rPr>
            </w:pPr>
            <w:r w:rsidRPr="0089695B">
              <w:rPr>
                <w:rFonts w:ascii="Arial" w:hAnsi="Arial" w:cs="Arial"/>
              </w:rPr>
              <w:t>1/1/02</w:t>
            </w:r>
          </w:p>
        </w:tc>
        <w:tc>
          <w:tcPr>
            <w:tcW w:w="2160" w:type="dxa"/>
            <w:tcBorders>
              <w:left w:val="single" w:sz="6" w:space="0" w:color="auto"/>
              <w:bottom w:val="single" w:sz="6" w:space="0" w:color="auto"/>
            </w:tcBorders>
          </w:tcPr>
          <w:p w14:paraId="37B00C8C" w14:textId="77777777" w:rsidR="00086DF9" w:rsidRPr="0089695B" w:rsidRDefault="00086DF9" w:rsidP="00C87259">
            <w:pPr>
              <w:jc w:val="center"/>
              <w:rPr>
                <w:rFonts w:ascii="Arial" w:hAnsi="Arial" w:cs="Arial"/>
              </w:rPr>
            </w:pPr>
            <w:r w:rsidRPr="0089695B">
              <w:rPr>
                <w:rFonts w:ascii="Arial" w:hAnsi="Arial" w:cs="Arial"/>
              </w:rPr>
              <w:t>Dennis Fitch</w:t>
            </w:r>
          </w:p>
        </w:tc>
        <w:tc>
          <w:tcPr>
            <w:tcW w:w="3870" w:type="dxa"/>
            <w:tcBorders>
              <w:left w:val="single" w:sz="6" w:space="0" w:color="auto"/>
              <w:bottom w:val="single" w:sz="6" w:space="0" w:color="auto"/>
              <w:right w:val="single" w:sz="6" w:space="0" w:color="auto"/>
            </w:tcBorders>
          </w:tcPr>
          <w:p w14:paraId="37B00C8D" w14:textId="77777777" w:rsidR="00086DF9" w:rsidRPr="0089695B" w:rsidRDefault="00086DF9">
            <w:pPr>
              <w:rPr>
                <w:rFonts w:ascii="Arial" w:hAnsi="Arial" w:cs="Arial"/>
              </w:rPr>
            </w:pPr>
            <w:r w:rsidRPr="0089695B">
              <w:rPr>
                <w:rFonts w:ascii="Arial" w:hAnsi="Arial" w:cs="Arial"/>
              </w:rPr>
              <w:t xml:space="preserve">                   Review, no changes</w:t>
            </w:r>
          </w:p>
        </w:tc>
        <w:tc>
          <w:tcPr>
            <w:tcW w:w="1170" w:type="dxa"/>
            <w:tcBorders>
              <w:bottom w:val="single" w:sz="6" w:space="0" w:color="auto"/>
              <w:right w:val="single" w:sz="6" w:space="0" w:color="auto"/>
            </w:tcBorders>
          </w:tcPr>
          <w:p w14:paraId="37B00C8E" w14:textId="77777777" w:rsidR="00086DF9" w:rsidRPr="0089695B" w:rsidRDefault="00086DF9">
            <w:pPr>
              <w:rPr>
                <w:rFonts w:ascii="Arial" w:hAnsi="Arial" w:cs="Arial"/>
              </w:rPr>
            </w:pPr>
          </w:p>
        </w:tc>
      </w:tr>
      <w:tr w:rsidR="00086DF9" w:rsidRPr="0089695B" w14:paraId="37B00C95" w14:textId="77777777" w:rsidTr="00C87259">
        <w:tc>
          <w:tcPr>
            <w:tcW w:w="1080" w:type="dxa"/>
            <w:tcBorders>
              <w:left w:val="single" w:sz="6" w:space="0" w:color="auto"/>
              <w:bottom w:val="single" w:sz="6" w:space="0" w:color="auto"/>
            </w:tcBorders>
          </w:tcPr>
          <w:p w14:paraId="37B00C90" w14:textId="77777777" w:rsidR="00086DF9" w:rsidRPr="0089695B" w:rsidRDefault="00086DF9" w:rsidP="00C87259">
            <w:pPr>
              <w:jc w:val="center"/>
              <w:rPr>
                <w:rFonts w:ascii="Arial" w:hAnsi="Arial" w:cs="Arial"/>
              </w:rPr>
            </w:pPr>
            <w:r w:rsidRPr="0089695B">
              <w:rPr>
                <w:rFonts w:ascii="Arial" w:hAnsi="Arial" w:cs="Arial"/>
              </w:rPr>
              <w:t>0</w:t>
            </w:r>
          </w:p>
        </w:tc>
        <w:tc>
          <w:tcPr>
            <w:tcW w:w="1080" w:type="dxa"/>
            <w:tcBorders>
              <w:left w:val="single" w:sz="6" w:space="0" w:color="auto"/>
              <w:bottom w:val="single" w:sz="6" w:space="0" w:color="auto"/>
            </w:tcBorders>
          </w:tcPr>
          <w:p w14:paraId="37B00C91" w14:textId="77777777" w:rsidR="00086DF9" w:rsidRPr="0089695B" w:rsidRDefault="00086DF9" w:rsidP="00C87259">
            <w:pPr>
              <w:jc w:val="center"/>
              <w:rPr>
                <w:rFonts w:ascii="Arial" w:hAnsi="Arial" w:cs="Arial"/>
              </w:rPr>
            </w:pPr>
            <w:r w:rsidRPr="0089695B">
              <w:rPr>
                <w:rFonts w:ascii="Arial" w:hAnsi="Arial" w:cs="Arial"/>
              </w:rPr>
              <w:t>9/24/2012</w:t>
            </w:r>
          </w:p>
        </w:tc>
        <w:tc>
          <w:tcPr>
            <w:tcW w:w="2160" w:type="dxa"/>
            <w:tcBorders>
              <w:left w:val="single" w:sz="6" w:space="0" w:color="auto"/>
              <w:bottom w:val="single" w:sz="6" w:space="0" w:color="auto"/>
            </w:tcBorders>
          </w:tcPr>
          <w:p w14:paraId="37B00C92" w14:textId="77777777" w:rsidR="00086DF9" w:rsidRPr="0089695B" w:rsidRDefault="00086DF9" w:rsidP="00C87259">
            <w:pPr>
              <w:jc w:val="center"/>
              <w:rPr>
                <w:rFonts w:ascii="Arial" w:hAnsi="Arial" w:cs="Arial"/>
              </w:rPr>
            </w:pPr>
            <w:r w:rsidRPr="0089695B">
              <w:rPr>
                <w:rFonts w:ascii="Arial" w:hAnsi="Arial" w:cs="Arial"/>
              </w:rPr>
              <w:t>Dennis Fitch</w:t>
            </w:r>
          </w:p>
        </w:tc>
        <w:tc>
          <w:tcPr>
            <w:tcW w:w="3870" w:type="dxa"/>
            <w:tcBorders>
              <w:left w:val="single" w:sz="6" w:space="0" w:color="auto"/>
              <w:bottom w:val="single" w:sz="6" w:space="0" w:color="auto"/>
              <w:right w:val="single" w:sz="6" w:space="0" w:color="auto"/>
            </w:tcBorders>
          </w:tcPr>
          <w:p w14:paraId="37B00C93" w14:textId="77777777" w:rsidR="00086DF9" w:rsidRPr="0089695B" w:rsidRDefault="00086DF9">
            <w:pPr>
              <w:rPr>
                <w:rFonts w:ascii="Arial" w:hAnsi="Arial" w:cs="Arial"/>
              </w:rPr>
            </w:pPr>
            <w:r w:rsidRPr="0089695B">
              <w:rPr>
                <w:rFonts w:ascii="Arial" w:hAnsi="Arial" w:cs="Arial"/>
              </w:rPr>
              <w:t xml:space="preserve">                    Reviewed, no changes</w:t>
            </w:r>
          </w:p>
        </w:tc>
        <w:tc>
          <w:tcPr>
            <w:tcW w:w="1170" w:type="dxa"/>
            <w:tcBorders>
              <w:bottom w:val="single" w:sz="6" w:space="0" w:color="auto"/>
              <w:right w:val="single" w:sz="6" w:space="0" w:color="auto"/>
            </w:tcBorders>
          </w:tcPr>
          <w:p w14:paraId="37B00C94" w14:textId="77777777" w:rsidR="00086DF9" w:rsidRPr="0089695B" w:rsidRDefault="00086DF9">
            <w:pPr>
              <w:rPr>
                <w:rFonts w:ascii="Arial" w:hAnsi="Arial" w:cs="Arial"/>
              </w:rPr>
            </w:pPr>
          </w:p>
        </w:tc>
      </w:tr>
      <w:tr w:rsidR="00C87259" w:rsidRPr="0089695B" w14:paraId="37B00C9B" w14:textId="77777777" w:rsidTr="00C87259">
        <w:tc>
          <w:tcPr>
            <w:tcW w:w="1080" w:type="dxa"/>
            <w:tcBorders>
              <w:top w:val="single" w:sz="6" w:space="0" w:color="auto"/>
              <w:left w:val="single" w:sz="6" w:space="0" w:color="auto"/>
              <w:bottom w:val="single" w:sz="6" w:space="0" w:color="auto"/>
            </w:tcBorders>
          </w:tcPr>
          <w:p w14:paraId="37B00C96" w14:textId="77777777" w:rsidR="00C87259" w:rsidRPr="0089695B" w:rsidRDefault="00C87259" w:rsidP="00C87259">
            <w:pPr>
              <w:jc w:val="center"/>
              <w:rPr>
                <w:rFonts w:ascii="Arial" w:hAnsi="Arial" w:cs="Arial"/>
              </w:rPr>
            </w:pPr>
            <w:r w:rsidRPr="0089695B">
              <w:rPr>
                <w:rFonts w:ascii="Arial" w:hAnsi="Arial" w:cs="Arial"/>
              </w:rPr>
              <w:t>1</w:t>
            </w:r>
          </w:p>
        </w:tc>
        <w:tc>
          <w:tcPr>
            <w:tcW w:w="1080" w:type="dxa"/>
            <w:tcBorders>
              <w:top w:val="single" w:sz="6" w:space="0" w:color="auto"/>
              <w:left w:val="single" w:sz="6" w:space="0" w:color="auto"/>
              <w:bottom w:val="single" w:sz="6" w:space="0" w:color="auto"/>
            </w:tcBorders>
          </w:tcPr>
          <w:p w14:paraId="37B00C97" w14:textId="77777777" w:rsidR="00C87259" w:rsidRPr="0089695B" w:rsidRDefault="00C87259" w:rsidP="00C87259">
            <w:pPr>
              <w:jc w:val="center"/>
              <w:rPr>
                <w:rFonts w:ascii="Arial" w:hAnsi="Arial" w:cs="Arial"/>
              </w:rPr>
            </w:pPr>
            <w:r w:rsidRPr="0089695B">
              <w:rPr>
                <w:rFonts w:ascii="Arial" w:hAnsi="Arial" w:cs="Arial"/>
              </w:rPr>
              <w:t>2/25/2015</w:t>
            </w:r>
          </w:p>
        </w:tc>
        <w:tc>
          <w:tcPr>
            <w:tcW w:w="2160" w:type="dxa"/>
            <w:tcBorders>
              <w:top w:val="single" w:sz="6" w:space="0" w:color="auto"/>
              <w:left w:val="single" w:sz="6" w:space="0" w:color="auto"/>
              <w:bottom w:val="single" w:sz="6" w:space="0" w:color="auto"/>
            </w:tcBorders>
          </w:tcPr>
          <w:p w14:paraId="37B00C98" w14:textId="77777777" w:rsidR="00C87259" w:rsidRPr="0089695B" w:rsidRDefault="00C87259" w:rsidP="00C87259">
            <w:pPr>
              <w:jc w:val="center"/>
              <w:rPr>
                <w:rFonts w:ascii="Arial" w:hAnsi="Arial" w:cs="Arial"/>
              </w:rPr>
            </w:pPr>
            <w:r w:rsidRPr="0089695B">
              <w:rPr>
                <w:rFonts w:ascii="Arial" w:hAnsi="Arial" w:cs="Arial"/>
              </w:rPr>
              <w:t>Dennis Fitch</w:t>
            </w:r>
          </w:p>
        </w:tc>
        <w:tc>
          <w:tcPr>
            <w:tcW w:w="3870" w:type="dxa"/>
            <w:tcBorders>
              <w:top w:val="single" w:sz="6" w:space="0" w:color="auto"/>
              <w:left w:val="single" w:sz="6" w:space="0" w:color="auto"/>
              <w:bottom w:val="single" w:sz="6" w:space="0" w:color="auto"/>
              <w:right w:val="single" w:sz="6" w:space="0" w:color="auto"/>
            </w:tcBorders>
          </w:tcPr>
          <w:p w14:paraId="37B00C99" w14:textId="3CEE3E47" w:rsidR="00C87259" w:rsidRPr="0089695B" w:rsidRDefault="00C87259" w:rsidP="00C87259">
            <w:pPr>
              <w:jc w:val="center"/>
              <w:rPr>
                <w:rFonts w:ascii="Arial" w:hAnsi="Arial" w:cs="Arial"/>
              </w:rPr>
            </w:pPr>
            <w:r w:rsidRPr="0089695B">
              <w:rPr>
                <w:rFonts w:ascii="Arial" w:hAnsi="Arial" w:cs="Arial"/>
              </w:rPr>
              <w:t xml:space="preserve">No major changes, just a review by BTH and updated </w:t>
            </w:r>
            <w:r w:rsidR="00993EFB">
              <w:rPr>
                <w:rFonts w:ascii="Arial" w:hAnsi="Arial" w:cs="Arial"/>
              </w:rPr>
              <w:t>visual aids</w:t>
            </w:r>
          </w:p>
        </w:tc>
        <w:tc>
          <w:tcPr>
            <w:tcW w:w="1170" w:type="dxa"/>
            <w:tcBorders>
              <w:top w:val="single" w:sz="6" w:space="0" w:color="auto"/>
              <w:bottom w:val="single" w:sz="6" w:space="0" w:color="auto"/>
              <w:right w:val="single" w:sz="6" w:space="0" w:color="auto"/>
            </w:tcBorders>
          </w:tcPr>
          <w:p w14:paraId="37B00C9A" w14:textId="77777777" w:rsidR="00C87259" w:rsidRPr="0089695B" w:rsidRDefault="00C87259">
            <w:pPr>
              <w:rPr>
                <w:rFonts w:ascii="Arial" w:hAnsi="Arial" w:cs="Arial"/>
              </w:rPr>
            </w:pPr>
          </w:p>
        </w:tc>
      </w:tr>
    </w:tbl>
    <w:p w14:paraId="37B00C9C" w14:textId="7C9BBAB5" w:rsidR="006B02CC" w:rsidRDefault="006B02CC">
      <w:pPr>
        <w:jc w:val="both"/>
        <w:rPr>
          <w:rFonts w:ascii="Arial" w:hAnsi="Arial" w:cs="Arial"/>
        </w:rPr>
      </w:pPr>
    </w:p>
    <w:p w14:paraId="7D569BC6" w14:textId="77777777" w:rsidR="006B02CC" w:rsidRDefault="006B02CC">
      <w:pPr>
        <w:rPr>
          <w:rFonts w:ascii="Arial" w:hAnsi="Arial" w:cs="Arial"/>
        </w:rPr>
      </w:pPr>
      <w:r>
        <w:rPr>
          <w:rFonts w:ascii="Arial" w:hAnsi="Arial" w:cs="Arial"/>
        </w:rPr>
        <w:br w:type="page"/>
      </w:r>
    </w:p>
    <w:p w14:paraId="7739B9D9" w14:textId="0D6767B0" w:rsidR="00086DF9" w:rsidRDefault="006B02CC" w:rsidP="006B02CC">
      <w:pPr>
        <w:jc w:val="center"/>
        <w:rPr>
          <w:rFonts w:ascii="Arial" w:hAnsi="Arial" w:cs="Arial"/>
        </w:rPr>
      </w:pPr>
      <w:r>
        <w:rPr>
          <w:rFonts w:ascii="Arial" w:hAnsi="Arial" w:cs="Arial"/>
        </w:rPr>
        <w:lastRenderedPageBreak/>
        <w:t>APPENDIX A</w:t>
      </w:r>
    </w:p>
    <w:p w14:paraId="7DC85E3E" w14:textId="77777777" w:rsidR="006B02CC" w:rsidRDefault="006B02CC" w:rsidP="006B02CC">
      <w:pPr>
        <w:jc w:val="center"/>
        <w:rPr>
          <w:rFonts w:ascii="Arial" w:hAnsi="Arial" w:cs="Arial"/>
        </w:rPr>
      </w:pPr>
    </w:p>
    <w:p w14:paraId="11B92F8C" w14:textId="44FD8A39" w:rsidR="006B02CC" w:rsidRDefault="006B02CC" w:rsidP="006B02CC">
      <w:pPr>
        <w:jc w:val="center"/>
        <w:rPr>
          <w:rFonts w:ascii="Arial" w:hAnsi="Arial" w:cs="Arial"/>
        </w:rPr>
      </w:pPr>
      <w:r>
        <w:rPr>
          <w:rFonts w:ascii="Arial" w:hAnsi="Arial" w:cs="Arial"/>
        </w:rPr>
        <w:t>Visual Aids</w:t>
      </w:r>
    </w:p>
    <w:p w14:paraId="6CE3AF5A" w14:textId="77777777" w:rsidR="006B02CC" w:rsidRDefault="006B02CC" w:rsidP="006B02CC">
      <w:pPr>
        <w:jc w:val="center"/>
        <w:rPr>
          <w:rFonts w:ascii="Arial" w:hAnsi="Arial" w:cs="Arial"/>
        </w:rPr>
      </w:pPr>
    </w:p>
    <w:p w14:paraId="060ECBB1" w14:textId="1A857173" w:rsidR="006B02CC" w:rsidRPr="00866C1F" w:rsidRDefault="00866C1F" w:rsidP="006B02CC">
      <w:pPr>
        <w:jc w:val="center"/>
        <w:rPr>
          <w:rFonts w:ascii="Arial" w:hAnsi="Arial" w:cs="Arial"/>
          <w:b/>
          <w:bCs/>
          <w:sz w:val="22"/>
          <w:szCs w:val="22"/>
        </w:rPr>
      </w:pPr>
      <w:r w:rsidRPr="00866C1F">
        <w:rPr>
          <w:rFonts w:ascii="Arial" w:hAnsi="Arial" w:cs="Arial"/>
          <w:b/>
          <w:bCs/>
          <w:sz w:val="22"/>
          <w:szCs w:val="22"/>
        </w:rPr>
        <w:t>DIVISION 1 HAZLOCs</w:t>
      </w:r>
    </w:p>
    <w:p w14:paraId="279961E3" w14:textId="77777777" w:rsidR="00866C1F" w:rsidRDefault="00866C1F" w:rsidP="006B02CC">
      <w:pPr>
        <w:jc w:val="center"/>
        <w:rPr>
          <w:rFonts w:ascii="Arial" w:hAnsi="Arial" w:cs="Arial"/>
        </w:rPr>
      </w:pPr>
    </w:p>
    <w:tbl>
      <w:tblPr>
        <w:tblStyle w:val="TableGrid"/>
        <w:tblW w:w="0" w:type="auto"/>
        <w:shd w:val="clear" w:color="auto" w:fill="EE0000"/>
        <w:tblLook w:val="04A0" w:firstRow="1" w:lastRow="0" w:firstColumn="1" w:lastColumn="0" w:noHBand="0" w:noVBand="1"/>
      </w:tblPr>
      <w:tblGrid>
        <w:gridCol w:w="9350"/>
      </w:tblGrid>
      <w:tr w:rsidR="006B02CC" w14:paraId="75DDC7D1" w14:textId="77777777" w:rsidTr="006B02CC">
        <w:tc>
          <w:tcPr>
            <w:tcW w:w="9350" w:type="dxa"/>
            <w:shd w:val="clear" w:color="auto" w:fill="EE0000"/>
          </w:tcPr>
          <w:p w14:paraId="280F813D" w14:textId="2333AF5C" w:rsidR="006B02CC" w:rsidRPr="006B02CC" w:rsidRDefault="006B02CC" w:rsidP="006B02CC">
            <w:pPr>
              <w:jc w:val="center"/>
              <w:rPr>
                <w:rFonts w:ascii="Arial" w:hAnsi="Arial" w:cs="Arial"/>
                <w:b/>
                <w:bCs/>
              </w:rPr>
            </w:pPr>
            <w:r w:rsidRPr="006B02CC">
              <w:rPr>
                <w:rFonts w:ascii="Arial" w:hAnsi="Arial" w:cs="Arial"/>
                <w:b/>
                <w:bCs/>
                <w:color w:val="FFFFFF" w:themeColor="background1"/>
                <w:sz w:val="24"/>
                <w:szCs w:val="24"/>
              </w:rPr>
              <w:t xml:space="preserve">CLASS </w:t>
            </w:r>
            <w:r w:rsidR="00866C1F">
              <w:rPr>
                <w:rFonts w:ascii="Arial" w:hAnsi="Arial" w:cs="Arial"/>
                <w:b/>
                <w:bCs/>
                <w:color w:val="FFFFFF" w:themeColor="background1"/>
                <w:sz w:val="24"/>
                <w:szCs w:val="24"/>
              </w:rPr>
              <w:t>I</w:t>
            </w:r>
            <w:r w:rsidRPr="006B02CC">
              <w:rPr>
                <w:rFonts w:ascii="Arial" w:hAnsi="Arial" w:cs="Arial"/>
                <w:b/>
                <w:bCs/>
                <w:color w:val="FFFFFF" w:themeColor="background1"/>
                <w:sz w:val="24"/>
                <w:szCs w:val="24"/>
              </w:rPr>
              <w:t>, DIVISION 1, Group D</w:t>
            </w:r>
          </w:p>
        </w:tc>
      </w:tr>
    </w:tbl>
    <w:p w14:paraId="6FBE208C" w14:textId="77777777" w:rsidR="006B02CC" w:rsidRDefault="006B02CC" w:rsidP="006B02CC">
      <w:pPr>
        <w:jc w:val="center"/>
        <w:rPr>
          <w:rFonts w:ascii="Arial" w:hAnsi="Arial" w:cs="Arial"/>
        </w:rPr>
      </w:pPr>
    </w:p>
    <w:tbl>
      <w:tblPr>
        <w:tblStyle w:val="TableGrid"/>
        <w:tblW w:w="0" w:type="auto"/>
        <w:shd w:val="clear" w:color="auto" w:fill="EE0000"/>
        <w:tblLook w:val="04A0" w:firstRow="1" w:lastRow="0" w:firstColumn="1" w:lastColumn="0" w:noHBand="0" w:noVBand="1"/>
      </w:tblPr>
      <w:tblGrid>
        <w:gridCol w:w="9350"/>
      </w:tblGrid>
      <w:tr w:rsidR="006B02CC" w14:paraId="75BC4D8B" w14:textId="77777777" w:rsidTr="006B02CC">
        <w:tc>
          <w:tcPr>
            <w:tcW w:w="9350" w:type="dxa"/>
            <w:shd w:val="clear" w:color="auto" w:fill="EE0000"/>
          </w:tcPr>
          <w:p w14:paraId="5CE91AF7" w14:textId="38871540" w:rsidR="006B02CC" w:rsidRDefault="006B02CC" w:rsidP="006B02CC">
            <w:pPr>
              <w:jc w:val="center"/>
              <w:rPr>
                <w:rFonts w:ascii="Arial" w:hAnsi="Arial" w:cs="Arial"/>
                <w:b/>
                <w:bCs/>
                <w:color w:val="FFFFFF" w:themeColor="background1"/>
                <w:sz w:val="24"/>
                <w:szCs w:val="24"/>
              </w:rPr>
            </w:pPr>
            <w:r w:rsidRPr="006B02CC">
              <w:rPr>
                <w:rFonts w:ascii="Arial" w:hAnsi="Arial" w:cs="Arial"/>
                <w:b/>
                <w:bCs/>
                <w:color w:val="FFFFFF" w:themeColor="background1"/>
                <w:sz w:val="24"/>
                <w:szCs w:val="24"/>
              </w:rPr>
              <w:t xml:space="preserve">CLASS </w:t>
            </w:r>
            <w:r w:rsidR="00866C1F">
              <w:rPr>
                <w:rFonts w:ascii="Arial" w:hAnsi="Arial" w:cs="Arial"/>
                <w:b/>
                <w:bCs/>
                <w:color w:val="FFFFFF" w:themeColor="background1"/>
                <w:sz w:val="24"/>
                <w:szCs w:val="24"/>
              </w:rPr>
              <w:t>II</w:t>
            </w:r>
            <w:r w:rsidRPr="006B02CC">
              <w:rPr>
                <w:rFonts w:ascii="Arial" w:hAnsi="Arial" w:cs="Arial"/>
                <w:b/>
                <w:bCs/>
                <w:color w:val="FFFFFF" w:themeColor="background1"/>
                <w:sz w:val="24"/>
                <w:szCs w:val="24"/>
              </w:rPr>
              <w:t xml:space="preserve">, DIVISION 1, Group </w:t>
            </w:r>
            <w:r>
              <w:rPr>
                <w:rFonts w:ascii="Arial" w:hAnsi="Arial" w:cs="Arial"/>
                <w:b/>
                <w:bCs/>
                <w:color w:val="FFFFFF" w:themeColor="background1"/>
                <w:sz w:val="24"/>
                <w:szCs w:val="24"/>
              </w:rPr>
              <w:t>E, F</w:t>
            </w:r>
            <w:r w:rsidR="00866C1F">
              <w:rPr>
                <w:rFonts w:ascii="Arial" w:hAnsi="Arial" w:cs="Arial"/>
                <w:b/>
                <w:bCs/>
                <w:color w:val="FFFFFF" w:themeColor="background1"/>
                <w:sz w:val="24"/>
                <w:szCs w:val="24"/>
              </w:rPr>
              <w:t>, G</w:t>
            </w:r>
          </w:p>
        </w:tc>
      </w:tr>
    </w:tbl>
    <w:p w14:paraId="1084C5B2" w14:textId="4CD117FD" w:rsidR="006B02CC" w:rsidRDefault="006B02CC" w:rsidP="006B02CC">
      <w:pPr>
        <w:rPr>
          <w:rFonts w:ascii="Arial" w:hAnsi="Arial" w:cs="Arial"/>
          <w:b/>
          <w:bCs/>
          <w:color w:val="FFFFFF" w:themeColor="background1"/>
          <w:sz w:val="24"/>
          <w:szCs w:val="24"/>
        </w:rPr>
      </w:pPr>
      <w:r w:rsidRPr="006B02CC">
        <w:rPr>
          <w:rFonts w:ascii="Arial" w:hAnsi="Arial" w:cs="Arial"/>
          <w:b/>
          <w:bCs/>
          <w:color w:val="FFFFFF" w:themeColor="background1"/>
          <w:sz w:val="24"/>
          <w:szCs w:val="24"/>
        </w:rPr>
        <w:t>CLASS 1, DIVISION 1, Group D</w:t>
      </w:r>
    </w:p>
    <w:p w14:paraId="2EC14C08" w14:textId="77777777" w:rsidR="00866C1F" w:rsidRDefault="00866C1F" w:rsidP="006B02CC">
      <w:pPr>
        <w:rPr>
          <w:rFonts w:ascii="Arial" w:hAnsi="Arial" w:cs="Arial"/>
          <w:b/>
          <w:bCs/>
          <w:color w:val="FFFFFF" w:themeColor="background1"/>
          <w:sz w:val="24"/>
          <w:szCs w:val="24"/>
        </w:rPr>
      </w:pPr>
    </w:p>
    <w:p w14:paraId="13AE629A" w14:textId="19A89E5A" w:rsidR="00866C1F" w:rsidRPr="00866C1F" w:rsidRDefault="00866C1F" w:rsidP="00866C1F">
      <w:pPr>
        <w:jc w:val="center"/>
        <w:rPr>
          <w:rFonts w:ascii="Arial" w:hAnsi="Arial" w:cs="Arial"/>
          <w:b/>
          <w:bCs/>
          <w:sz w:val="22"/>
          <w:szCs w:val="22"/>
        </w:rPr>
      </w:pPr>
      <w:r w:rsidRPr="00866C1F">
        <w:rPr>
          <w:rFonts w:ascii="Arial" w:hAnsi="Arial" w:cs="Arial"/>
          <w:b/>
          <w:bCs/>
          <w:sz w:val="22"/>
          <w:szCs w:val="22"/>
        </w:rPr>
        <w:t xml:space="preserve">DIVISION </w:t>
      </w:r>
      <w:r>
        <w:rPr>
          <w:rFonts w:ascii="Arial" w:hAnsi="Arial" w:cs="Arial"/>
          <w:b/>
          <w:bCs/>
          <w:sz w:val="22"/>
          <w:szCs w:val="22"/>
        </w:rPr>
        <w:t>2</w:t>
      </w:r>
      <w:r w:rsidRPr="00866C1F">
        <w:rPr>
          <w:rFonts w:ascii="Arial" w:hAnsi="Arial" w:cs="Arial"/>
          <w:b/>
          <w:bCs/>
          <w:sz w:val="22"/>
          <w:szCs w:val="22"/>
        </w:rPr>
        <w:t xml:space="preserve"> HAZLOCs</w:t>
      </w:r>
    </w:p>
    <w:p w14:paraId="20A51ED3" w14:textId="77777777" w:rsidR="00866C1F" w:rsidRDefault="00866C1F" w:rsidP="006B02CC">
      <w:pPr>
        <w:rPr>
          <w:rFonts w:ascii="Arial" w:hAnsi="Arial" w:cs="Arial"/>
          <w:b/>
          <w:bCs/>
          <w:color w:val="FFFFFF" w:themeColor="background1"/>
          <w:sz w:val="24"/>
          <w:szCs w:val="24"/>
        </w:rPr>
      </w:pPr>
    </w:p>
    <w:tbl>
      <w:tblPr>
        <w:tblStyle w:val="TableGrid"/>
        <w:tblW w:w="0" w:type="auto"/>
        <w:shd w:val="clear" w:color="auto" w:fill="FFFF00"/>
        <w:tblLook w:val="04A0" w:firstRow="1" w:lastRow="0" w:firstColumn="1" w:lastColumn="0" w:noHBand="0" w:noVBand="1"/>
      </w:tblPr>
      <w:tblGrid>
        <w:gridCol w:w="9350"/>
      </w:tblGrid>
      <w:tr w:rsidR="00866C1F" w14:paraId="6F4640D0" w14:textId="77777777" w:rsidTr="00866C1F">
        <w:tc>
          <w:tcPr>
            <w:tcW w:w="9350" w:type="dxa"/>
            <w:shd w:val="clear" w:color="auto" w:fill="FFFF00"/>
          </w:tcPr>
          <w:p w14:paraId="7A8C3125" w14:textId="39D0C32B" w:rsidR="00866C1F" w:rsidRPr="00866C1F" w:rsidRDefault="00866C1F" w:rsidP="00866C1F">
            <w:pPr>
              <w:jc w:val="center"/>
              <w:rPr>
                <w:rFonts w:ascii="Arial" w:hAnsi="Arial" w:cs="Arial"/>
                <w:b/>
                <w:bCs/>
              </w:rPr>
            </w:pPr>
            <w:r w:rsidRPr="00866C1F">
              <w:rPr>
                <w:rFonts w:ascii="Arial" w:hAnsi="Arial" w:cs="Arial"/>
                <w:b/>
                <w:bCs/>
                <w:sz w:val="24"/>
                <w:szCs w:val="24"/>
              </w:rPr>
              <w:t>CLASS I, DIVISION 2, GROUP D</w:t>
            </w:r>
          </w:p>
        </w:tc>
      </w:tr>
    </w:tbl>
    <w:p w14:paraId="37F61ACD" w14:textId="77777777" w:rsidR="00866C1F" w:rsidRDefault="00866C1F" w:rsidP="006B02CC">
      <w:pPr>
        <w:rPr>
          <w:rFonts w:ascii="Arial" w:hAnsi="Arial" w:cs="Arial"/>
        </w:rPr>
      </w:pPr>
    </w:p>
    <w:tbl>
      <w:tblPr>
        <w:tblStyle w:val="TableGrid"/>
        <w:tblW w:w="0" w:type="auto"/>
        <w:shd w:val="clear" w:color="auto" w:fill="FFFF00"/>
        <w:tblLook w:val="04A0" w:firstRow="1" w:lastRow="0" w:firstColumn="1" w:lastColumn="0" w:noHBand="0" w:noVBand="1"/>
      </w:tblPr>
      <w:tblGrid>
        <w:gridCol w:w="9350"/>
      </w:tblGrid>
      <w:tr w:rsidR="00866C1F" w14:paraId="266F65AB" w14:textId="77777777" w:rsidTr="00866C1F">
        <w:tc>
          <w:tcPr>
            <w:tcW w:w="9350" w:type="dxa"/>
            <w:shd w:val="clear" w:color="auto" w:fill="FFFF00"/>
          </w:tcPr>
          <w:p w14:paraId="69882139" w14:textId="220B82CD" w:rsidR="00866C1F" w:rsidRPr="00866C1F" w:rsidRDefault="00866C1F" w:rsidP="00866C1F">
            <w:pPr>
              <w:jc w:val="center"/>
              <w:rPr>
                <w:rFonts w:ascii="Arial" w:hAnsi="Arial" w:cs="Arial"/>
                <w:b/>
                <w:bCs/>
                <w:highlight w:val="yellow"/>
              </w:rPr>
            </w:pPr>
            <w:r w:rsidRPr="00866C1F">
              <w:rPr>
                <w:rFonts w:ascii="Arial" w:hAnsi="Arial" w:cs="Arial"/>
                <w:b/>
                <w:bCs/>
                <w:sz w:val="24"/>
                <w:szCs w:val="24"/>
                <w:highlight w:val="yellow"/>
              </w:rPr>
              <w:t xml:space="preserve">CLASS </w:t>
            </w:r>
            <w:r>
              <w:rPr>
                <w:rFonts w:ascii="Arial" w:hAnsi="Arial" w:cs="Arial"/>
                <w:b/>
                <w:bCs/>
                <w:sz w:val="24"/>
                <w:szCs w:val="24"/>
                <w:highlight w:val="yellow"/>
              </w:rPr>
              <w:t>II</w:t>
            </w:r>
            <w:r w:rsidRPr="00866C1F">
              <w:rPr>
                <w:rFonts w:ascii="Arial" w:hAnsi="Arial" w:cs="Arial"/>
                <w:b/>
                <w:bCs/>
                <w:sz w:val="24"/>
                <w:szCs w:val="24"/>
                <w:highlight w:val="yellow"/>
              </w:rPr>
              <w:t xml:space="preserve">, DIVISION 2, GROUP </w:t>
            </w:r>
            <w:r>
              <w:rPr>
                <w:rFonts w:ascii="Arial" w:hAnsi="Arial" w:cs="Arial"/>
                <w:b/>
                <w:bCs/>
                <w:sz w:val="24"/>
                <w:szCs w:val="24"/>
                <w:highlight w:val="yellow"/>
              </w:rPr>
              <w:t>E, F, G</w:t>
            </w:r>
          </w:p>
        </w:tc>
      </w:tr>
    </w:tbl>
    <w:p w14:paraId="7B2D441F" w14:textId="77777777" w:rsidR="00866C1F" w:rsidRPr="0089695B" w:rsidRDefault="00866C1F" w:rsidP="006B02CC">
      <w:pPr>
        <w:rPr>
          <w:rFonts w:ascii="Arial" w:hAnsi="Arial" w:cs="Arial"/>
        </w:rPr>
      </w:pPr>
    </w:p>
    <w:sectPr w:rsidR="00866C1F" w:rsidRPr="0089695B" w:rsidSect="00086DF9">
      <w:headerReference w:type="default" r:id="rId9"/>
      <w:endnotePr>
        <w:numFmt w:val="decimal"/>
      </w:endnotePr>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74A08" w14:textId="77777777" w:rsidR="00DD1B9F" w:rsidRDefault="00DD1B9F">
      <w:r>
        <w:separator/>
      </w:r>
    </w:p>
  </w:endnote>
  <w:endnote w:type="continuationSeparator" w:id="0">
    <w:p w14:paraId="019C9640" w14:textId="77777777" w:rsidR="00DD1B9F" w:rsidRDefault="00DD1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20B0604020202020204"/>
    <w:charset w:val="00"/>
    <w:family w:val="roman"/>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0EC76" w14:textId="77777777" w:rsidR="00DD1B9F" w:rsidRDefault="00DD1B9F">
      <w:r>
        <w:separator/>
      </w:r>
    </w:p>
  </w:footnote>
  <w:footnote w:type="continuationSeparator" w:id="0">
    <w:p w14:paraId="5F00C489" w14:textId="77777777" w:rsidR="00DD1B9F" w:rsidRDefault="00DD1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1" w:type="dxa"/>
      <w:tblInd w:w="101" w:type="dxa"/>
      <w:tblLayout w:type="fixed"/>
      <w:tblCellMar>
        <w:left w:w="101" w:type="dxa"/>
        <w:right w:w="101" w:type="dxa"/>
      </w:tblCellMar>
      <w:tblLook w:val="0000" w:firstRow="0" w:lastRow="0" w:firstColumn="0" w:lastColumn="0" w:noHBand="0" w:noVBand="0"/>
    </w:tblPr>
    <w:tblGrid>
      <w:gridCol w:w="3600"/>
      <w:gridCol w:w="1800"/>
      <w:gridCol w:w="1530"/>
      <w:gridCol w:w="1350"/>
      <w:gridCol w:w="1421"/>
    </w:tblGrid>
    <w:tr w:rsidR="00951D32" w14:paraId="37B00CA6" w14:textId="77777777" w:rsidTr="00FD3108">
      <w:tc>
        <w:tcPr>
          <w:tcW w:w="3600" w:type="dxa"/>
          <w:tcBorders>
            <w:top w:val="single" w:sz="6" w:space="0" w:color="auto"/>
            <w:left w:val="single" w:sz="6" w:space="0" w:color="auto"/>
            <w:bottom w:val="single" w:sz="6" w:space="0" w:color="auto"/>
          </w:tcBorders>
        </w:tcPr>
        <w:p w14:paraId="37B00CA3" w14:textId="77777777" w:rsidR="00951D32" w:rsidRDefault="00951D32" w:rsidP="00B95255">
          <w:pPr>
            <w:tabs>
              <w:tab w:val="left" w:pos="360"/>
              <w:tab w:val="left" w:pos="1080"/>
              <w:tab w:val="left" w:pos="1800"/>
              <w:tab w:val="left" w:pos="2520"/>
              <w:tab w:val="left" w:pos="3240"/>
              <w:tab w:val="left" w:pos="3960"/>
              <w:tab w:val="left" w:pos="4680"/>
              <w:tab w:val="left" w:pos="5400"/>
              <w:tab w:val="left" w:pos="6120"/>
              <w:tab w:val="left" w:pos="6840"/>
            </w:tabs>
            <w:jc w:val="center"/>
            <w:rPr>
              <w:i/>
              <w:iCs/>
            </w:rPr>
          </w:pPr>
        </w:p>
      </w:tc>
      <w:tc>
        <w:tcPr>
          <w:tcW w:w="6101" w:type="dxa"/>
          <w:gridSpan w:val="4"/>
          <w:tcBorders>
            <w:top w:val="single" w:sz="6" w:space="0" w:color="auto"/>
            <w:left w:val="single" w:sz="6" w:space="0" w:color="auto"/>
            <w:right w:val="single" w:sz="6" w:space="0" w:color="auto"/>
          </w:tcBorders>
        </w:tcPr>
        <w:p w14:paraId="37B00CA5" w14:textId="736208C3" w:rsidR="00951D32" w:rsidRDefault="00951D32">
          <w:pPr>
            <w:tabs>
              <w:tab w:val="left" w:pos="360"/>
              <w:tab w:val="left" w:pos="1080"/>
              <w:tab w:val="left" w:pos="1800"/>
              <w:tab w:val="left" w:pos="2520"/>
              <w:tab w:val="left" w:pos="3240"/>
              <w:tab w:val="left" w:pos="3960"/>
              <w:tab w:val="left" w:pos="4680"/>
              <w:tab w:val="left" w:pos="5400"/>
              <w:tab w:val="left" w:pos="6120"/>
              <w:tab w:val="left" w:pos="6840"/>
            </w:tabs>
            <w:rPr>
              <w:rFonts w:ascii="Arial" w:hAnsi="Arial"/>
              <w:b/>
              <w:i/>
              <w:sz w:val="32"/>
            </w:rPr>
          </w:pPr>
          <w:r w:rsidRPr="00881CB6">
            <w:t xml:space="preserve">Title:  </w:t>
          </w:r>
          <w:r>
            <w:rPr>
              <w:b/>
            </w:rPr>
            <w:t>Marking of Hazardous Locations (HAZLOCs)</w:t>
          </w:r>
        </w:p>
      </w:tc>
    </w:tr>
    <w:tr w:rsidR="00DE680B" w14:paraId="37B00CAC" w14:textId="77777777" w:rsidTr="0024795F">
      <w:tc>
        <w:tcPr>
          <w:tcW w:w="3600" w:type="dxa"/>
          <w:vMerge w:val="restart"/>
          <w:tcBorders>
            <w:top w:val="single" w:sz="6" w:space="0" w:color="auto"/>
            <w:left w:val="single" w:sz="6" w:space="0" w:color="auto"/>
            <w:bottom w:val="single" w:sz="6" w:space="0" w:color="auto"/>
          </w:tcBorders>
          <w:shd w:val="clear" w:color="auto" w:fill="00FFFF"/>
          <w:vAlign w:val="center"/>
        </w:tcPr>
        <w:p w14:paraId="37B00CA7" w14:textId="77777777" w:rsidR="00DE680B" w:rsidRPr="00C948A9" w:rsidRDefault="00DE680B" w:rsidP="00881CB6">
          <w:pPr>
            <w:pStyle w:val="Header"/>
            <w:jc w:val="center"/>
            <w:rPr>
              <w:b/>
              <w:i/>
              <w:color w:val="000000"/>
              <w:sz w:val="28"/>
            </w:rPr>
          </w:pPr>
          <w:r>
            <w:rPr>
              <w:b/>
              <w:i/>
              <w:sz w:val="28"/>
            </w:rPr>
            <w:t>Process Safety Management</w:t>
          </w:r>
        </w:p>
      </w:tc>
      <w:tc>
        <w:tcPr>
          <w:tcW w:w="1800" w:type="dxa"/>
          <w:tcBorders>
            <w:top w:val="single" w:sz="6" w:space="0" w:color="auto"/>
            <w:left w:val="single" w:sz="6" w:space="0" w:color="auto"/>
          </w:tcBorders>
        </w:tcPr>
        <w:p w14:paraId="37B00CA8"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rPr>
              <w:b/>
              <w:bCs/>
            </w:rPr>
          </w:pPr>
          <w:r>
            <w:rPr>
              <w:b/>
              <w:bCs/>
            </w:rPr>
            <w:t>Document No.:</w:t>
          </w:r>
        </w:p>
      </w:tc>
      <w:tc>
        <w:tcPr>
          <w:tcW w:w="1530" w:type="dxa"/>
          <w:tcBorders>
            <w:top w:val="single" w:sz="6" w:space="0" w:color="auto"/>
            <w:left w:val="single" w:sz="6" w:space="0" w:color="auto"/>
          </w:tcBorders>
        </w:tcPr>
        <w:p w14:paraId="37B00CA9"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rPr>
              <w:b/>
              <w:bCs/>
            </w:rPr>
          </w:pPr>
          <w:r>
            <w:rPr>
              <w:b/>
              <w:bCs/>
            </w:rPr>
            <w:t>Date Effective:</w:t>
          </w:r>
        </w:p>
      </w:tc>
      <w:tc>
        <w:tcPr>
          <w:tcW w:w="1350" w:type="dxa"/>
          <w:tcBorders>
            <w:top w:val="single" w:sz="6" w:space="0" w:color="auto"/>
            <w:left w:val="single" w:sz="6" w:space="0" w:color="auto"/>
          </w:tcBorders>
        </w:tcPr>
        <w:p w14:paraId="37B00CAA"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rPr>
              <w:b/>
              <w:bCs/>
            </w:rPr>
          </w:pPr>
          <w:r>
            <w:rPr>
              <w:b/>
              <w:bCs/>
            </w:rPr>
            <w:t>Page:</w:t>
          </w:r>
        </w:p>
      </w:tc>
      <w:tc>
        <w:tcPr>
          <w:tcW w:w="1421" w:type="dxa"/>
          <w:tcBorders>
            <w:top w:val="single" w:sz="6" w:space="0" w:color="auto"/>
            <w:left w:val="single" w:sz="6" w:space="0" w:color="auto"/>
            <w:right w:val="single" w:sz="6" w:space="0" w:color="auto"/>
          </w:tcBorders>
        </w:tcPr>
        <w:p w14:paraId="37B00CAB"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rPr>
              <w:rFonts w:ascii="Arial" w:hAnsi="Arial"/>
            </w:rPr>
          </w:pPr>
        </w:p>
      </w:tc>
    </w:tr>
    <w:tr w:rsidR="00DE680B" w14:paraId="37B00CB2" w14:textId="77777777" w:rsidTr="0024795F">
      <w:tc>
        <w:tcPr>
          <w:tcW w:w="3600" w:type="dxa"/>
          <w:vMerge/>
          <w:tcBorders>
            <w:left w:val="single" w:sz="6" w:space="0" w:color="auto"/>
            <w:bottom w:val="single" w:sz="6" w:space="0" w:color="auto"/>
          </w:tcBorders>
          <w:shd w:val="clear" w:color="auto" w:fill="00FFFF"/>
        </w:tcPr>
        <w:p w14:paraId="37B00CAD" w14:textId="77777777" w:rsidR="00DE680B" w:rsidRDefault="00DE680B">
          <w:pPr>
            <w:pStyle w:val="Heading1"/>
            <w:rPr>
              <w:sz w:val="28"/>
            </w:rPr>
          </w:pPr>
        </w:p>
      </w:tc>
      <w:tc>
        <w:tcPr>
          <w:tcW w:w="1800" w:type="dxa"/>
          <w:tcBorders>
            <w:left w:val="single" w:sz="6" w:space="0" w:color="auto"/>
          </w:tcBorders>
        </w:tcPr>
        <w:p w14:paraId="37B00CAE"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jc w:val="center"/>
          </w:pPr>
          <w:r>
            <w:t>22.000</w:t>
          </w:r>
        </w:p>
      </w:tc>
      <w:tc>
        <w:tcPr>
          <w:tcW w:w="1530" w:type="dxa"/>
          <w:tcBorders>
            <w:left w:val="single" w:sz="6" w:space="0" w:color="auto"/>
          </w:tcBorders>
        </w:tcPr>
        <w:p w14:paraId="37B00CAF"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jc w:val="center"/>
          </w:pPr>
          <w:r>
            <w:t>1/01/02</w:t>
          </w:r>
        </w:p>
      </w:tc>
      <w:tc>
        <w:tcPr>
          <w:tcW w:w="1350" w:type="dxa"/>
          <w:tcBorders>
            <w:left w:val="single" w:sz="6" w:space="0" w:color="auto"/>
          </w:tcBorders>
        </w:tcPr>
        <w:p w14:paraId="37B00CB0" w14:textId="05107A8F" w:rsidR="00DE680B" w:rsidRDefault="00DE680B" w:rsidP="00701A12">
          <w:pPr>
            <w:tabs>
              <w:tab w:val="left" w:pos="360"/>
              <w:tab w:val="left" w:pos="1080"/>
              <w:tab w:val="left" w:pos="1800"/>
              <w:tab w:val="left" w:pos="2520"/>
              <w:tab w:val="left" w:pos="3240"/>
              <w:tab w:val="left" w:pos="3960"/>
              <w:tab w:val="left" w:pos="4680"/>
              <w:tab w:val="left" w:pos="5400"/>
              <w:tab w:val="left" w:pos="6120"/>
              <w:tab w:val="left" w:pos="6840"/>
            </w:tabs>
            <w:jc w:val="center"/>
          </w:pPr>
          <w:r>
            <w:fldChar w:fldCharType="begin"/>
          </w:r>
          <w:r>
            <w:instrText>PAGE</w:instrText>
          </w:r>
          <w:r>
            <w:fldChar w:fldCharType="separate"/>
          </w:r>
          <w:r w:rsidR="00371CCA">
            <w:rPr>
              <w:noProof/>
            </w:rPr>
            <w:t>1</w:t>
          </w:r>
          <w:r>
            <w:fldChar w:fldCharType="end"/>
          </w:r>
          <w:r>
            <w:t xml:space="preserve"> of </w:t>
          </w:r>
          <w:r w:rsidR="006B02CC">
            <w:t>4</w:t>
          </w:r>
        </w:p>
      </w:tc>
      <w:tc>
        <w:tcPr>
          <w:tcW w:w="1421" w:type="dxa"/>
          <w:tcBorders>
            <w:left w:val="single" w:sz="6" w:space="0" w:color="auto"/>
            <w:right w:val="single" w:sz="6" w:space="0" w:color="auto"/>
          </w:tcBorders>
        </w:tcPr>
        <w:p w14:paraId="37B00CB1"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jc w:val="center"/>
            <w:rPr>
              <w:rFonts w:ascii="Arial" w:hAnsi="Arial"/>
            </w:rPr>
          </w:pPr>
        </w:p>
      </w:tc>
    </w:tr>
    <w:tr w:rsidR="00DE680B" w14:paraId="37B00CB9" w14:textId="77777777" w:rsidTr="0024795F">
      <w:trPr>
        <w:trHeight w:val="318"/>
      </w:trPr>
      <w:tc>
        <w:tcPr>
          <w:tcW w:w="3600" w:type="dxa"/>
          <w:vMerge w:val="restart"/>
          <w:tcBorders>
            <w:top w:val="single" w:sz="6" w:space="0" w:color="auto"/>
            <w:left w:val="single" w:sz="6" w:space="0" w:color="auto"/>
          </w:tcBorders>
          <w:vAlign w:val="center"/>
        </w:tcPr>
        <w:p w14:paraId="37B00CB3" w14:textId="77777777" w:rsidR="00DE680B" w:rsidRDefault="00DE680B" w:rsidP="00651C75">
          <w:pPr>
            <w:pStyle w:val="Header"/>
            <w:jc w:val="center"/>
            <w:rPr>
              <w:b/>
            </w:rPr>
          </w:pPr>
          <w:r>
            <w:rPr>
              <w:b/>
            </w:rPr>
            <w:t>Program Element</w:t>
          </w:r>
        </w:p>
        <w:p w14:paraId="37B00CB4" w14:textId="77777777" w:rsidR="00DE680B" w:rsidRDefault="00DE680B" w:rsidP="00651C75">
          <w:pPr>
            <w:tabs>
              <w:tab w:val="left" w:pos="360"/>
              <w:tab w:val="left" w:pos="1080"/>
              <w:tab w:val="left" w:pos="1800"/>
              <w:tab w:val="left" w:pos="2520"/>
              <w:tab w:val="left" w:pos="3240"/>
              <w:tab w:val="left" w:pos="3960"/>
              <w:tab w:val="left" w:pos="4680"/>
              <w:tab w:val="left" w:pos="5400"/>
              <w:tab w:val="left" w:pos="6120"/>
              <w:tab w:val="left" w:pos="6840"/>
            </w:tabs>
            <w:jc w:val="center"/>
            <w:rPr>
              <w:rFonts w:ascii="Arial" w:hAnsi="Arial"/>
              <w:sz w:val="16"/>
            </w:rPr>
          </w:pPr>
          <w:r>
            <w:rPr>
              <w:b/>
            </w:rPr>
            <w:t>Procedure</w:t>
          </w:r>
        </w:p>
      </w:tc>
      <w:tc>
        <w:tcPr>
          <w:tcW w:w="1800" w:type="dxa"/>
          <w:tcBorders>
            <w:top w:val="single" w:sz="6" w:space="0" w:color="auto"/>
            <w:left w:val="single" w:sz="6" w:space="0" w:color="auto"/>
          </w:tcBorders>
        </w:tcPr>
        <w:p w14:paraId="37B00CB5"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rPr>
              <w:b/>
              <w:bCs/>
            </w:rPr>
          </w:pPr>
          <w:r>
            <w:rPr>
              <w:b/>
              <w:bCs/>
            </w:rPr>
            <w:t>Document Owner:</w:t>
          </w:r>
        </w:p>
      </w:tc>
      <w:tc>
        <w:tcPr>
          <w:tcW w:w="1530" w:type="dxa"/>
          <w:tcBorders>
            <w:top w:val="single" w:sz="6" w:space="0" w:color="auto"/>
            <w:left w:val="single" w:sz="6" w:space="0" w:color="auto"/>
          </w:tcBorders>
        </w:tcPr>
        <w:p w14:paraId="37B00CB6"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rPr>
              <w:b/>
              <w:bCs/>
            </w:rPr>
          </w:pPr>
          <w:r>
            <w:rPr>
              <w:b/>
              <w:bCs/>
            </w:rPr>
            <w:t>Approved By:</w:t>
          </w:r>
        </w:p>
      </w:tc>
      <w:tc>
        <w:tcPr>
          <w:tcW w:w="1350" w:type="dxa"/>
          <w:tcBorders>
            <w:top w:val="single" w:sz="6" w:space="0" w:color="auto"/>
            <w:left w:val="single" w:sz="6" w:space="0" w:color="auto"/>
          </w:tcBorders>
        </w:tcPr>
        <w:p w14:paraId="37B00CB7"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rPr>
              <w:b/>
              <w:bCs/>
            </w:rPr>
          </w:pPr>
          <w:r>
            <w:rPr>
              <w:b/>
              <w:bCs/>
            </w:rPr>
            <w:t>Revision No.:</w:t>
          </w:r>
        </w:p>
      </w:tc>
      <w:tc>
        <w:tcPr>
          <w:tcW w:w="1421" w:type="dxa"/>
          <w:tcBorders>
            <w:top w:val="single" w:sz="6" w:space="0" w:color="auto"/>
            <w:left w:val="single" w:sz="6" w:space="0" w:color="auto"/>
            <w:right w:val="single" w:sz="6" w:space="0" w:color="auto"/>
          </w:tcBorders>
        </w:tcPr>
        <w:p w14:paraId="37B00CB8"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rPr>
              <w:b/>
              <w:bCs/>
            </w:rPr>
          </w:pPr>
          <w:r>
            <w:rPr>
              <w:b/>
              <w:bCs/>
            </w:rPr>
            <w:t>Rev. Date</w:t>
          </w:r>
        </w:p>
      </w:tc>
    </w:tr>
    <w:tr w:rsidR="00DE680B" w14:paraId="37B00CBF" w14:textId="77777777" w:rsidTr="0024795F">
      <w:tc>
        <w:tcPr>
          <w:tcW w:w="3600" w:type="dxa"/>
          <w:vMerge/>
          <w:tcBorders>
            <w:left w:val="single" w:sz="6" w:space="0" w:color="auto"/>
            <w:bottom w:val="single" w:sz="6" w:space="0" w:color="auto"/>
          </w:tcBorders>
        </w:tcPr>
        <w:p w14:paraId="37B00CBA"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jc w:val="center"/>
            <w:rPr>
              <w:rFonts w:ascii="Arial" w:hAnsi="Arial"/>
            </w:rPr>
          </w:pPr>
        </w:p>
      </w:tc>
      <w:tc>
        <w:tcPr>
          <w:tcW w:w="1800" w:type="dxa"/>
          <w:tcBorders>
            <w:left w:val="single" w:sz="6" w:space="0" w:color="auto"/>
            <w:bottom w:val="single" w:sz="6" w:space="0" w:color="auto"/>
          </w:tcBorders>
        </w:tcPr>
        <w:p w14:paraId="37B00CBB"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jc w:val="center"/>
          </w:pPr>
          <w:r>
            <w:t>Dennis Fitch</w:t>
          </w:r>
        </w:p>
      </w:tc>
      <w:tc>
        <w:tcPr>
          <w:tcW w:w="1530" w:type="dxa"/>
          <w:tcBorders>
            <w:left w:val="single" w:sz="6" w:space="0" w:color="auto"/>
            <w:bottom w:val="single" w:sz="6" w:space="0" w:color="auto"/>
          </w:tcBorders>
        </w:tcPr>
        <w:p w14:paraId="37B00CBC"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jc w:val="center"/>
          </w:pPr>
          <w:r>
            <w:t>Dennis Fitch</w:t>
          </w:r>
        </w:p>
      </w:tc>
      <w:tc>
        <w:tcPr>
          <w:tcW w:w="1350" w:type="dxa"/>
          <w:tcBorders>
            <w:left w:val="single" w:sz="6" w:space="0" w:color="auto"/>
            <w:bottom w:val="single" w:sz="6" w:space="0" w:color="auto"/>
          </w:tcBorders>
        </w:tcPr>
        <w:p w14:paraId="37B00CBD"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jc w:val="center"/>
          </w:pPr>
          <w:r>
            <w:t>1</w:t>
          </w:r>
        </w:p>
      </w:tc>
      <w:tc>
        <w:tcPr>
          <w:tcW w:w="1421" w:type="dxa"/>
          <w:tcBorders>
            <w:left w:val="single" w:sz="6" w:space="0" w:color="auto"/>
            <w:bottom w:val="single" w:sz="6" w:space="0" w:color="auto"/>
            <w:right w:val="single" w:sz="6" w:space="0" w:color="auto"/>
          </w:tcBorders>
        </w:tcPr>
        <w:p w14:paraId="37B00CBE" w14:textId="77777777" w:rsidR="00DE680B" w:rsidRDefault="00DE680B" w:rsidP="00881CB6">
          <w:pPr>
            <w:tabs>
              <w:tab w:val="left" w:pos="360"/>
              <w:tab w:val="left" w:pos="1080"/>
              <w:tab w:val="left" w:pos="1800"/>
              <w:tab w:val="left" w:pos="2520"/>
              <w:tab w:val="left" w:pos="3240"/>
              <w:tab w:val="left" w:pos="3960"/>
              <w:tab w:val="left" w:pos="4680"/>
              <w:tab w:val="left" w:pos="5400"/>
              <w:tab w:val="left" w:pos="6120"/>
              <w:tab w:val="left" w:pos="6840"/>
            </w:tabs>
            <w:jc w:val="center"/>
          </w:pPr>
          <w:r>
            <w:t>2/25/2015</w:t>
          </w:r>
        </w:p>
      </w:tc>
    </w:tr>
  </w:tbl>
  <w:p w14:paraId="37B00CC0" w14:textId="77777777" w:rsidR="00DE680B" w:rsidRDefault="00DE680B">
    <w:pPr>
      <w:tabs>
        <w:tab w:val="left" w:pos="360"/>
        <w:tab w:val="left" w:pos="1080"/>
        <w:tab w:val="left" w:pos="1800"/>
        <w:tab w:val="left" w:pos="2520"/>
        <w:tab w:val="left" w:pos="3240"/>
        <w:tab w:val="left" w:pos="3960"/>
        <w:tab w:val="left" w:pos="4680"/>
        <w:tab w:val="left" w:pos="5400"/>
        <w:tab w:val="left" w:pos="6120"/>
        <w:tab w:val="left" w:pos="6840"/>
      </w:tabs>
      <w:jc w:val="cent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3DFD"/>
    <w:multiLevelType w:val="multilevel"/>
    <w:tmpl w:val="A732A32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2AF0927"/>
    <w:multiLevelType w:val="multilevel"/>
    <w:tmpl w:val="B33693FC"/>
    <w:lvl w:ilvl="0">
      <w:start w:val="7"/>
      <w:numFmt w:val="decimal"/>
      <w:lvlText w:val="%1"/>
      <w:lvlJc w:val="left"/>
      <w:pPr>
        <w:tabs>
          <w:tab w:val="num" w:pos="720"/>
        </w:tabs>
        <w:ind w:left="720" w:hanging="720"/>
      </w:pPr>
      <w:rPr>
        <w:rFonts w:hint="default"/>
        <w:i w:val="0"/>
      </w:rPr>
    </w:lvl>
    <w:lvl w:ilvl="1">
      <w:start w:val="1"/>
      <w:numFmt w:val="decimal"/>
      <w:lvlText w:val="%1.%2"/>
      <w:lvlJc w:val="left"/>
      <w:pPr>
        <w:tabs>
          <w:tab w:val="num" w:pos="1440"/>
        </w:tabs>
        <w:ind w:left="1440" w:hanging="720"/>
      </w:pPr>
      <w:rPr>
        <w:rFonts w:hint="default"/>
        <w:i w:val="0"/>
      </w:rPr>
    </w:lvl>
    <w:lvl w:ilvl="2">
      <w:start w:val="1"/>
      <w:numFmt w:val="decimal"/>
      <w:lvlText w:val="%1.%2.%3"/>
      <w:lvlJc w:val="left"/>
      <w:pPr>
        <w:tabs>
          <w:tab w:val="num" w:pos="2160"/>
        </w:tabs>
        <w:ind w:left="2160" w:hanging="720"/>
      </w:pPr>
      <w:rPr>
        <w:rFonts w:hint="default"/>
        <w:i w:val="0"/>
      </w:rPr>
    </w:lvl>
    <w:lvl w:ilvl="3">
      <w:start w:val="1"/>
      <w:numFmt w:val="decimal"/>
      <w:lvlText w:val="%1.%2.%3.%4"/>
      <w:lvlJc w:val="left"/>
      <w:pPr>
        <w:tabs>
          <w:tab w:val="num" w:pos="2880"/>
        </w:tabs>
        <w:ind w:left="2880" w:hanging="720"/>
      </w:pPr>
      <w:rPr>
        <w:rFonts w:hint="default"/>
        <w:i w:val="0"/>
      </w:rPr>
    </w:lvl>
    <w:lvl w:ilvl="4">
      <w:start w:val="1"/>
      <w:numFmt w:val="decimal"/>
      <w:lvlText w:val="%1.%2.%3.%4.%5"/>
      <w:lvlJc w:val="left"/>
      <w:pPr>
        <w:tabs>
          <w:tab w:val="num" w:pos="3600"/>
        </w:tabs>
        <w:ind w:left="3600" w:hanging="720"/>
      </w:pPr>
      <w:rPr>
        <w:rFonts w:hint="default"/>
        <w:i w:val="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i w:val="0"/>
      </w:rPr>
    </w:lvl>
    <w:lvl w:ilvl="7">
      <w:start w:val="1"/>
      <w:numFmt w:val="decimal"/>
      <w:lvlText w:val="%1.%2.%3.%4.%5.%6.%7.%8"/>
      <w:lvlJc w:val="left"/>
      <w:pPr>
        <w:tabs>
          <w:tab w:val="num" w:pos="6480"/>
        </w:tabs>
        <w:ind w:left="6480" w:hanging="1440"/>
      </w:pPr>
      <w:rPr>
        <w:rFonts w:hint="default"/>
        <w:i w:val="0"/>
      </w:rPr>
    </w:lvl>
    <w:lvl w:ilvl="8">
      <w:start w:val="1"/>
      <w:numFmt w:val="decimal"/>
      <w:lvlText w:val="%1.%2.%3.%4.%5.%6.%7.%8.%9"/>
      <w:lvlJc w:val="left"/>
      <w:pPr>
        <w:tabs>
          <w:tab w:val="num" w:pos="7200"/>
        </w:tabs>
        <w:ind w:left="7200" w:hanging="1440"/>
      </w:pPr>
      <w:rPr>
        <w:rFonts w:hint="default"/>
        <w:i w:val="0"/>
      </w:rPr>
    </w:lvl>
  </w:abstractNum>
  <w:abstractNum w:abstractNumId="2" w15:restartNumberingAfterBreak="0">
    <w:nsid w:val="1AE27490"/>
    <w:multiLevelType w:val="singleLevel"/>
    <w:tmpl w:val="07E88F46"/>
    <w:lvl w:ilvl="0">
      <w:start w:val="1"/>
      <w:numFmt w:val="lowerLetter"/>
      <w:lvlText w:val="(%1)"/>
      <w:lvlJc w:val="left"/>
      <w:pPr>
        <w:tabs>
          <w:tab w:val="num" w:pos="2880"/>
        </w:tabs>
        <w:ind w:left="2880" w:hanging="720"/>
      </w:pPr>
      <w:rPr>
        <w:rFonts w:hint="default"/>
      </w:rPr>
    </w:lvl>
  </w:abstractNum>
  <w:abstractNum w:abstractNumId="3" w15:restartNumberingAfterBreak="0">
    <w:nsid w:val="2D5E327D"/>
    <w:multiLevelType w:val="hybridMultilevel"/>
    <w:tmpl w:val="5BAE94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DF6D75"/>
    <w:multiLevelType w:val="hybridMultilevel"/>
    <w:tmpl w:val="F1DC19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3F230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3C9718C"/>
    <w:multiLevelType w:val="multilevel"/>
    <w:tmpl w:val="B3A2E6F6"/>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354D16A8"/>
    <w:multiLevelType w:val="multilevel"/>
    <w:tmpl w:val="CFDE266E"/>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3AED4680"/>
    <w:multiLevelType w:val="hybridMultilevel"/>
    <w:tmpl w:val="CADAC09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40D740D1"/>
    <w:multiLevelType w:val="hybridMultilevel"/>
    <w:tmpl w:val="72081590"/>
    <w:lvl w:ilvl="0" w:tplc="945E7A1E">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0" w15:restartNumberingAfterBreak="0">
    <w:nsid w:val="43BE0163"/>
    <w:multiLevelType w:val="hybridMultilevel"/>
    <w:tmpl w:val="4BB02740"/>
    <w:lvl w:ilvl="0" w:tplc="7698070A">
      <w:start w:val="1"/>
      <w:numFmt w:val="lowerLetter"/>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43EA3115"/>
    <w:multiLevelType w:val="multilevel"/>
    <w:tmpl w:val="5816AF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46172E97"/>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4B6061C4"/>
    <w:multiLevelType w:val="hybridMultilevel"/>
    <w:tmpl w:val="0A38751C"/>
    <w:lvl w:ilvl="0" w:tplc="E61079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382202"/>
    <w:multiLevelType w:val="multilevel"/>
    <w:tmpl w:val="D77C5E22"/>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51B30073"/>
    <w:multiLevelType w:val="hybridMultilevel"/>
    <w:tmpl w:val="048857C6"/>
    <w:lvl w:ilvl="0" w:tplc="7812BE1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52DD2BFE"/>
    <w:multiLevelType w:val="multilevel"/>
    <w:tmpl w:val="D660BE8A"/>
    <w:lvl w:ilvl="0">
      <w:start w:val="6"/>
      <w:numFmt w:val="decimal"/>
      <w:lvlText w:val="%1"/>
      <w:lvlJc w:val="left"/>
      <w:pPr>
        <w:tabs>
          <w:tab w:val="num" w:pos="720"/>
        </w:tabs>
        <w:ind w:left="720" w:hanging="720"/>
      </w:pPr>
      <w:rPr>
        <w:rFonts w:hint="default"/>
        <w:i w:val="0"/>
      </w:rPr>
    </w:lvl>
    <w:lvl w:ilvl="1">
      <w:start w:val="3"/>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720"/>
        </w:tabs>
        <w:ind w:left="720" w:hanging="72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080"/>
        </w:tabs>
        <w:ind w:left="1080" w:hanging="108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440"/>
        </w:tabs>
        <w:ind w:left="1440" w:hanging="1440"/>
      </w:pPr>
      <w:rPr>
        <w:rFonts w:hint="default"/>
        <w:i w:val="0"/>
      </w:rPr>
    </w:lvl>
  </w:abstractNum>
  <w:abstractNum w:abstractNumId="17" w15:restartNumberingAfterBreak="0">
    <w:nsid w:val="57C564AE"/>
    <w:multiLevelType w:val="singleLevel"/>
    <w:tmpl w:val="7EAE452C"/>
    <w:lvl w:ilvl="0">
      <w:start w:val="1"/>
      <w:numFmt w:val="decimal"/>
      <w:lvlText w:val="%1."/>
      <w:lvlJc w:val="left"/>
      <w:pPr>
        <w:tabs>
          <w:tab w:val="num" w:pos="3600"/>
        </w:tabs>
        <w:ind w:left="3600" w:hanging="720"/>
      </w:pPr>
      <w:rPr>
        <w:rFonts w:hint="default"/>
      </w:rPr>
    </w:lvl>
  </w:abstractNum>
  <w:abstractNum w:abstractNumId="18" w15:restartNumberingAfterBreak="0">
    <w:nsid w:val="58C2568D"/>
    <w:multiLevelType w:val="hybridMultilevel"/>
    <w:tmpl w:val="2F7047D8"/>
    <w:lvl w:ilvl="0" w:tplc="DF4880A2">
      <w:start w:val="6"/>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9D57D14"/>
    <w:multiLevelType w:val="hybridMultilevel"/>
    <w:tmpl w:val="CEC84EA6"/>
    <w:lvl w:ilvl="0" w:tplc="E4C4B622">
      <w:start w:val="1"/>
      <w:numFmt w:val="decimal"/>
      <w:lvlText w:val="%1."/>
      <w:lvlJc w:val="left"/>
      <w:pPr>
        <w:tabs>
          <w:tab w:val="num" w:pos="3240"/>
        </w:tabs>
        <w:ind w:left="3240" w:hanging="360"/>
      </w:pPr>
      <w:rPr>
        <w:rFonts w:hint="default"/>
      </w:rPr>
    </w:lvl>
    <w:lvl w:ilvl="1" w:tplc="04090019">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0" w15:restartNumberingAfterBreak="0">
    <w:nsid w:val="5F615DD0"/>
    <w:multiLevelType w:val="hybridMultilevel"/>
    <w:tmpl w:val="821A9D7E"/>
    <w:lvl w:ilvl="0" w:tplc="541C3D28">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1" w15:restartNumberingAfterBreak="0">
    <w:nsid w:val="6AF176ED"/>
    <w:multiLevelType w:val="hybridMultilevel"/>
    <w:tmpl w:val="99F49340"/>
    <w:lvl w:ilvl="0" w:tplc="20EA28FC">
      <w:start w:val="1"/>
      <w:numFmt w:val="decimal"/>
      <w:lvlText w:val="%1."/>
      <w:lvlJc w:val="left"/>
      <w:pPr>
        <w:tabs>
          <w:tab w:val="num" w:pos="3240"/>
        </w:tabs>
        <w:ind w:left="3240" w:hanging="360"/>
      </w:pPr>
      <w:rPr>
        <w:rFonts w:hint="default"/>
      </w:rPr>
    </w:lvl>
    <w:lvl w:ilvl="1" w:tplc="04090019">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2" w15:restartNumberingAfterBreak="0">
    <w:nsid w:val="6D727788"/>
    <w:multiLevelType w:val="multilevel"/>
    <w:tmpl w:val="68367912"/>
    <w:lvl w:ilvl="0">
      <w:start w:val="1"/>
      <w:numFmt w:val="decimal"/>
      <w:lvlText w:val="%1."/>
      <w:lvlJc w:val="left"/>
      <w:pPr>
        <w:ind w:left="360" w:hanging="360"/>
      </w:pPr>
      <w:rPr>
        <w:rFonts w:hint="default"/>
      </w:rPr>
    </w:lvl>
    <w:lvl w:ilvl="1">
      <w:start w:val="1"/>
      <w:numFmt w:val="upperLetter"/>
      <w:lvlText w:val="%2."/>
      <w:lvlJc w:val="left"/>
      <w:pPr>
        <w:ind w:left="1080" w:hanging="360"/>
      </w:pPr>
    </w:lvl>
    <w:lvl w:ilvl="2">
      <w:start w:val="1"/>
      <w:numFmt w:val="decimal"/>
      <w:lvlText w:val="%1.%2.%3."/>
      <w:lvlJc w:val="left"/>
      <w:pPr>
        <w:ind w:left="1800" w:hanging="36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36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360"/>
      </w:pPr>
      <w:rPr>
        <w:rFonts w:hint="default"/>
      </w:rPr>
    </w:lvl>
  </w:abstractNum>
  <w:abstractNum w:abstractNumId="23" w15:restartNumberingAfterBreak="0">
    <w:nsid w:val="74C92463"/>
    <w:multiLevelType w:val="hybridMultilevel"/>
    <w:tmpl w:val="5956C96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5824E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A039CD"/>
    <w:multiLevelType w:val="hybridMultilevel"/>
    <w:tmpl w:val="A21C793A"/>
    <w:lvl w:ilvl="0" w:tplc="BD90AEF0">
      <w:start w:val="4"/>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16cid:durableId="453444704">
    <w:abstractNumId w:val="0"/>
  </w:num>
  <w:num w:numId="2" w16cid:durableId="2025552876">
    <w:abstractNumId w:val="3"/>
  </w:num>
  <w:num w:numId="3" w16cid:durableId="1499152942">
    <w:abstractNumId w:val="4"/>
  </w:num>
  <w:num w:numId="4" w16cid:durableId="290985734">
    <w:abstractNumId w:val="8"/>
  </w:num>
  <w:num w:numId="5" w16cid:durableId="1875002371">
    <w:abstractNumId w:val="5"/>
  </w:num>
  <w:num w:numId="6" w16cid:durableId="1882549267">
    <w:abstractNumId w:val="11"/>
  </w:num>
  <w:num w:numId="7" w16cid:durableId="1641615009">
    <w:abstractNumId w:val="22"/>
  </w:num>
  <w:num w:numId="8" w16cid:durableId="1520389394">
    <w:abstractNumId w:val="16"/>
  </w:num>
  <w:num w:numId="9" w16cid:durableId="1703937155">
    <w:abstractNumId w:val="2"/>
  </w:num>
  <w:num w:numId="10" w16cid:durableId="1102149455">
    <w:abstractNumId w:val="17"/>
  </w:num>
  <w:num w:numId="11" w16cid:durableId="1848404362">
    <w:abstractNumId w:val="1"/>
  </w:num>
  <w:num w:numId="12" w16cid:durableId="419375457">
    <w:abstractNumId w:val="14"/>
  </w:num>
  <w:num w:numId="13" w16cid:durableId="978460267">
    <w:abstractNumId w:val="18"/>
  </w:num>
  <w:num w:numId="14" w16cid:durableId="738553992">
    <w:abstractNumId w:val="7"/>
  </w:num>
  <w:num w:numId="15" w16cid:durableId="1868828244">
    <w:abstractNumId w:val="19"/>
  </w:num>
  <w:num w:numId="16" w16cid:durableId="1403991170">
    <w:abstractNumId w:val="20"/>
  </w:num>
  <w:num w:numId="17" w16cid:durableId="718817610">
    <w:abstractNumId w:val="9"/>
  </w:num>
  <w:num w:numId="18" w16cid:durableId="1367945889">
    <w:abstractNumId w:val="15"/>
  </w:num>
  <w:num w:numId="19" w16cid:durableId="50734180">
    <w:abstractNumId w:val="21"/>
  </w:num>
  <w:num w:numId="20" w16cid:durableId="1212351402">
    <w:abstractNumId w:val="6"/>
  </w:num>
  <w:num w:numId="21" w16cid:durableId="1057707188">
    <w:abstractNumId w:val="25"/>
  </w:num>
  <w:num w:numId="22" w16cid:durableId="891305400">
    <w:abstractNumId w:val="10"/>
  </w:num>
  <w:num w:numId="23" w16cid:durableId="2075199020">
    <w:abstractNumId w:val="13"/>
  </w:num>
  <w:num w:numId="24" w16cid:durableId="1178689348">
    <w:abstractNumId w:val="23"/>
  </w:num>
  <w:num w:numId="25" w16cid:durableId="1391730698">
    <w:abstractNumId w:val="12"/>
  </w:num>
  <w:num w:numId="26" w16cid:durableId="9127415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B6"/>
    <w:rsid w:val="00025864"/>
    <w:rsid w:val="00086DF9"/>
    <w:rsid w:val="000B0BEB"/>
    <w:rsid w:val="00205984"/>
    <w:rsid w:val="0024795F"/>
    <w:rsid w:val="002A6396"/>
    <w:rsid w:val="002C2879"/>
    <w:rsid w:val="00371CCA"/>
    <w:rsid w:val="00403B7E"/>
    <w:rsid w:val="005049D4"/>
    <w:rsid w:val="00651C75"/>
    <w:rsid w:val="00656E6E"/>
    <w:rsid w:val="006B02CC"/>
    <w:rsid w:val="00701A12"/>
    <w:rsid w:val="00714BE1"/>
    <w:rsid w:val="007A12D0"/>
    <w:rsid w:val="007A7CB9"/>
    <w:rsid w:val="007E5C7D"/>
    <w:rsid w:val="00866C1F"/>
    <w:rsid w:val="00881CB6"/>
    <w:rsid w:val="0089695B"/>
    <w:rsid w:val="00951D32"/>
    <w:rsid w:val="00993EFB"/>
    <w:rsid w:val="009D7413"/>
    <w:rsid w:val="00A63636"/>
    <w:rsid w:val="00B95255"/>
    <w:rsid w:val="00BC6F28"/>
    <w:rsid w:val="00C87259"/>
    <w:rsid w:val="00D439F9"/>
    <w:rsid w:val="00DC35CE"/>
    <w:rsid w:val="00DD1B9F"/>
    <w:rsid w:val="00DE680B"/>
    <w:rsid w:val="00F24E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00BA7"/>
  <w15:chartTrackingRefBased/>
  <w15:docId w15:val="{461C14DB-B8CF-4AD6-B7B4-82F6095B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tabs>
        <w:tab w:val="left" w:pos="360"/>
        <w:tab w:val="left" w:pos="1080"/>
        <w:tab w:val="left" w:pos="1800"/>
        <w:tab w:val="left" w:pos="2520"/>
        <w:tab w:val="left" w:pos="3240"/>
        <w:tab w:val="left" w:pos="3960"/>
        <w:tab w:val="left" w:pos="4680"/>
        <w:tab w:val="left" w:pos="5400"/>
        <w:tab w:val="left" w:pos="6120"/>
        <w:tab w:val="left" w:pos="6840"/>
      </w:tabs>
      <w:jc w:val="center"/>
      <w:outlineLvl w:val="0"/>
    </w:pPr>
    <w:rPr>
      <w:b/>
      <w:i/>
      <w:sz w:val="32"/>
    </w:rPr>
  </w:style>
  <w:style w:type="paragraph" w:styleId="Heading2">
    <w:name w:val="heading 2"/>
    <w:basedOn w:val="Normal"/>
    <w:next w:val="Normal"/>
    <w:qFormat/>
    <w:pPr>
      <w:keepNext/>
      <w:tabs>
        <w:tab w:val="left" w:pos="360"/>
        <w:tab w:val="left" w:pos="1080"/>
        <w:tab w:val="left" w:pos="1800"/>
        <w:tab w:val="left" w:pos="2520"/>
        <w:tab w:val="left" w:pos="3240"/>
        <w:tab w:val="left" w:pos="3960"/>
        <w:tab w:val="left" w:pos="4680"/>
        <w:tab w:val="left" w:pos="5400"/>
        <w:tab w:val="left" w:pos="6120"/>
        <w:tab w:val="left" w:pos="6840"/>
      </w:tabs>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character" w:customStyle="1" w:styleId="Tabletext">
    <w:name w:val="Table text"/>
    <w:rPr>
      <w:rFonts w:ascii="CG Times" w:hAnsi="CG Times"/>
      <w:sz w:val="24"/>
    </w:rPr>
  </w:style>
  <w:style w:type="character" w:customStyle="1" w:styleId="Footer1">
    <w:name w:val="Footer1"/>
    <w:rPr>
      <w:rFonts w:ascii="CG Times" w:hAnsi="CG Times"/>
      <w:sz w:val="24"/>
    </w:rPr>
  </w:style>
  <w:style w:type="character" w:customStyle="1" w:styleId="approvallin">
    <w:name w:val="approval lin"/>
    <w:rPr>
      <w:rFonts w:ascii="CG Times" w:hAnsi="CG Times"/>
      <w:sz w:val="24"/>
    </w:rPr>
  </w:style>
  <w:style w:type="character" w:customStyle="1" w:styleId="Header1">
    <w:name w:val="Header1"/>
    <w:rPr>
      <w:rFonts w:ascii="CG Times" w:hAnsi="CG Times"/>
      <w:sz w:val="24"/>
    </w:rPr>
  </w:style>
  <w:style w:type="character" w:customStyle="1" w:styleId="Title1">
    <w:name w:val="Title1"/>
    <w:rPr>
      <w:rFonts w:ascii="CG Times" w:hAnsi="CG Times"/>
      <w:sz w:val="24"/>
    </w:rPr>
  </w:style>
  <w:style w:type="character" w:customStyle="1" w:styleId="Header10">
    <w:name w:val="Header 1"/>
    <w:rPr>
      <w:rFonts w:ascii="CG Times" w:hAnsi="CG Times"/>
      <w:sz w:val="24"/>
    </w:rPr>
  </w:style>
  <w:style w:type="character" w:customStyle="1" w:styleId="paragraph1">
    <w:name w:val="paragraph 1"/>
    <w:rPr>
      <w:rFonts w:ascii="CG Times" w:hAnsi="CG Times"/>
      <w:sz w:val="24"/>
    </w:rPr>
  </w:style>
  <w:style w:type="character" w:customStyle="1" w:styleId="Header2">
    <w:name w:val="Header 2"/>
    <w:rPr>
      <w:rFonts w:ascii="CG Times" w:hAnsi="CG Times"/>
      <w:sz w:val="24"/>
    </w:rPr>
  </w:style>
  <w:style w:type="character" w:customStyle="1" w:styleId="paragraph3">
    <w:name w:val="paragraph 3"/>
    <w:rPr>
      <w:rFonts w:ascii="CG Times" w:hAnsi="CG Times"/>
      <w:sz w:val="24"/>
    </w:rPr>
  </w:style>
  <w:style w:type="paragraph" w:styleId="Footer">
    <w:name w:val="footer"/>
    <w:basedOn w:val="Normal"/>
    <w:semiHidden/>
    <w:pPr>
      <w:tabs>
        <w:tab w:val="center" w:pos="4320"/>
        <w:tab w:val="right" w:pos="8640"/>
      </w:tabs>
    </w:pPr>
  </w:style>
  <w:style w:type="paragraph" w:styleId="BodyText">
    <w:name w:val="Body Text"/>
    <w:basedOn w:val="Normal"/>
    <w:semiHidden/>
    <w:pPr>
      <w:tabs>
        <w:tab w:val="left" w:pos="360"/>
        <w:tab w:val="left" w:pos="1080"/>
        <w:tab w:val="left" w:pos="1800"/>
        <w:tab w:val="left" w:pos="2520"/>
        <w:tab w:val="left" w:pos="3240"/>
        <w:tab w:val="left" w:pos="3960"/>
        <w:tab w:val="left" w:pos="4680"/>
        <w:tab w:val="left" w:pos="5400"/>
        <w:tab w:val="left" w:pos="6120"/>
        <w:tab w:val="left" w:pos="6840"/>
      </w:tabs>
      <w:jc w:val="center"/>
    </w:pPr>
    <w:rPr>
      <w:b/>
      <w:sz w:val="24"/>
    </w:rPr>
  </w:style>
  <w:style w:type="paragraph" w:styleId="BodyTextIndent">
    <w:name w:val="Body Text Indent"/>
    <w:basedOn w:val="Normal"/>
    <w:semiHidden/>
    <w:pPr>
      <w:ind w:left="2160" w:hanging="1440"/>
      <w:jc w:val="both"/>
    </w:pPr>
  </w:style>
  <w:style w:type="paragraph" w:styleId="BodyTextIndent2">
    <w:name w:val="Body Text Indent 2"/>
    <w:basedOn w:val="Normal"/>
    <w:semiHidden/>
    <w:pPr>
      <w:ind w:left="1440"/>
      <w:jc w:val="both"/>
    </w:pPr>
  </w:style>
  <w:style w:type="paragraph" w:styleId="BodyTextIndent3">
    <w:name w:val="Body Text Indent 3"/>
    <w:basedOn w:val="Normal"/>
    <w:semiHidden/>
    <w:pPr>
      <w:ind w:left="1440" w:hanging="720"/>
      <w:jc w:val="both"/>
    </w:pPr>
  </w:style>
  <w:style w:type="character" w:customStyle="1" w:styleId="HeaderChar">
    <w:name w:val="Header Char"/>
    <w:link w:val="Header"/>
    <w:rsid w:val="00881CB6"/>
  </w:style>
  <w:style w:type="paragraph" w:customStyle="1" w:styleId="Quick1">
    <w:name w:val="Quick 1."/>
    <w:basedOn w:val="Normal"/>
    <w:rsid w:val="00205984"/>
    <w:pPr>
      <w:ind w:left="720" w:hanging="720"/>
    </w:pPr>
    <w:rPr>
      <w:rFonts w:ascii="Arial" w:hAnsi="Arial"/>
    </w:rPr>
  </w:style>
  <w:style w:type="paragraph" w:styleId="ListParagraph">
    <w:name w:val="List Paragraph"/>
    <w:basedOn w:val="Normal"/>
    <w:uiPriority w:val="34"/>
    <w:qFormat/>
    <w:rsid w:val="00BC6F28"/>
    <w:pPr>
      <w:ind w:left="720"/>
      <w:contextualSpacing/>
    </w:pPr>
  </w:style>
  <w:style w:type="table" w:styleId="TableGrid">
    <w:name w:val="Table Grid"/>
    <w:basedOn w:val="TableNormal"/>
    <w:uiPriority w:val="59"/>
    <w:rsid w:val="006B0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872</Words>
  <Characters>5289</Characters>
  <Application>Microsoft Office Word</Application>
  <DocSecurity>0</DocSecurity>
  <Lines>146</Lines>
  <Paragraphs>80</Paragraphs>
  <ScaleCrop>false</ScaleCrop>
  <HeadingPairs>
    <vt:vector size="2" baseType="variant">
      <vt:variant>
        <vt:lpstr>Title</vt:lpstr>
      </vt:variant>
      <vt:variant>
        <vt:i4>1</vt:i4>
      </vt:variant>
    </vt:vector>
  </HeadingPairs>
  <TitlesOfParts>
    <vt:vector size="1" baseType="lpstr">
      <vt:lpstr>CONTENTS</vt:lpstr>
    </vt:vector>
  </TitlesOfParts>
  <Company>Primatech Inc.</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subject/>
  <dc:creator>Craig S. Rudenstein</dc:creator>
  <cp:keywords/>
  <cp:lastModifiedBy>Bryan Haywood</cp:lastModifiedBy>
  <cp:revision>6</cp:revision>
  <cp:lastPrinted>2002-05-16T17:07:00Z</cp:lastPrinted>
  <dcterms:created xsi:type="dcterms:W3CDTF">2026-05-12T18:33:00Z</dcterms:created>
  <dcterms:modified xsi:type="dcterms:W3CDTF">2026-05-12T19:27:00Z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237491523</vt:i4>
  </property>
  <property fmtid="{D5CDD505-2E9C-101B-9397-08002B2CF9AE}" pid="3" name="_EmailSubject">
    <vt:lpwstr>Management of Change Guideline (MOC)</vt:lpwstr>
  </property>
  <property fmtid="{D5CDD505-2E9C-101B-9397-08002B2CF9AE}" pid="4" name="_AuthorEmail">
    <vt:lpwstr>jmh44@psu.edu</vt:lpwstr>
  </property>
  <property fmtid="{D5CDD505-2E9C-101B-9397-08002B2CF9AE}" pid="5" name="_AuthorEmailDisplayName">
    <vt:lpwstr>Joel Haight</vt:lpwstr>
  </property>
  <property fmtid="{D5CDD505-2E9C-101B-9397-08002B2CF9AE}" pid="6" name="_ReviewingToolsShownOnce">
    <vt:lpwstr/>
  </property>
</Properties>
</file>